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44"/>
          <w:szCs w:val="44"/>
        </w:rPr>
      </w:pPr>
      <w:r>
        <w:rPr>
          <w:sz w:val="44"/>
          <w:szCs w:val="44"/>
        </w:rPr>
        <w:t>2017</w:t>
      </w:r>
      <w:r>
        <w:rPr>
          <w:rFonts w:hint="eastAsia"/>
          <w:sz w:val="44"/>
          <w:szCs w:val="44"/>
        </w:rPr>
        <w:t>年路南区发改局预算公开内容</w:t>
      </w:r>
    </w:p>
    <w:p>
      <w:pPr>
        <w:rPr>
          <w:rFonts w:ascii="????_GBK" w:eastAsia="Times New Roman" w:cs="Times New Roman"/>
          <w:sz w:val="28"/>
          <w:szCs w:val="28"/>
        </w:rPr>
      </w:pPr>
    </w:p>
    <w:p>
      <w:pPr>
        <w:numPr>
          <w:ilvl w:val="0"/>
          <w:numId w:val="1"/>
        </w:numPr>
        <w:rPr>
          <w:rFonts w:hAnsi="仿宋_GB2312" w:cs="Times New Roman"/>
          <w:sz w:val="32"/>
          <w:szCs w:val="32"/>
        </w:rPr>
      </w:pPr>
      <w:r>
        <w:rPr>
          <w:rFonts w:hint="eastAsia" w:hAnsi="仿宋_GB2312"/>
          <w:sz w:val="32"/>
          <w:szCs w:val="32"/>
        </w:rPr>
        <w:t>主要职责</w:t>
      </w:r>
    </w:p>
    <w:p>
      <w:pPr>
        <w:ind w:firstLine="560"/>
        <w:rPr>
          <w:rFonts w:cs="Times New Roman"/>
          <w:sz w:val="32"/>
          <w:szCs w:val="32"/>
        </w:rPr>
      </w:pPr>
      <w:r>
        <w:rPr>
          <w:rFonts w:hint="eastAsia"/>
          <w:sz w:val="32"/>
          <w:szCs w:val="32"/>
        </w:rPr>
        <w:t>（一）贯彻党中央、国务院、国家计委和省委、省政府、市委、市政府关于物价方面的重大方针政策，结合我区实际，研究研定具体实施措施。</w:t>
      </w:r>
    </w:p>
    <w:p>
      <w:pPr>
        <w:ind w:firstLine="560"/>
        <w:rPr>
          <w:rFonts w:cs="Times New Roman"/>
          <w:sz w:val="32"/>
          <w:szCs w:val="32"/>
        </w:rPr>
      </w:pPr>
      <w:r>
        <w:rPr>
          <w:rFonts w:hint="eastAsia"/>
          <w:sz w:val="32"/>
          <w:szCs w:val="32"/>
        </w:rPr>
        <w:t>（二）预测价格总水平的变动，进行市场价格预警、预测，适时提出调控意见和建议。</w:t>
      </w:r>
    </w:p>
    <w:p>
      <w:pPr>
        <w:ind w:firstLine="560"/>
        <w:rPr>
          <w:rFonts w:cs="Times New Roman"/>
          <w:sz w:val="32"/>
          <w:szCs w:val="32"/>
        </w:rPr>
      </w:pPr>
      <w:r>
        <w:rPr>
          <w:rFonts w:hint="eastAsia"/>
          <w:sz w:val="32"/>
          <w:szCs w:val="32"/>
        </w:rPr>
        <w:t>（三）对实行政府指导价或政府定价的商品价格、实施直接管理，负责对国家和省、市直管价格的落实；通过监审、提价申报、规定限价和差率控制等措施，对市场调</w:t>
      </w:r>
      <w:bookmarkStart w:id="2" w:name="_GoBack"/>
      <w:bookmarkEnd w:id="2"/>
      <w:r>
        <w:rPr>
          <w:rFonts w:hint="eastAsia"/>
          <w:sz w:val="32"/>
          <w:szCs w:val="32"/>
        </w:rPr>
        <w:t>节的商品价格进行间接管理。</w:t>
      </w:r>
    </w:p>
    <w:p>
      <w:pPr>
        <w:ind w:firstLine="560"/>
        <w:rPr>
          <w:rFonts w:cs="Times New Roman"/>
          <w:sz w:val="32"/>
          <w:szCs w:val="32"/>
        </w:rPr>
      </w:pPr>
      <w:r>
        <w:rPr>
          <w:rFonts w:hint="eastAsia"/>
          <w:sz w:val="32"/>
          <w:szCs w:val="32"/>
        </w:rPr>
        <w:t>（四）管理国家机关收费、公益事业收费、中介服务收费和经营收费。在支持经济和社会事业发展的前提下，严格控制收费规模，合理确定收费水平，规范收费秩序，监督各项收费政策的落实。</w:t>
      </w:r>
    </w:p>
    <w:p>
      <w:pPr>
        <w:ind w:firstLine="560"/>
        <w:rPr>
          <w:rFonts w:cs="Times New Roman"/>
          <w:sz w:val="32"/>
          <w:szCs w:val="32"/>
        </w:rPr>
      </w:pPr>
      <w:r>
        <w:rPr>
          <w:rFonts w:hint="eastAsia"/>
          <w:sz w:val="32"/>
          <w:szCs w:val="32"/>
        </w:rPr>
        <w:t>（五）建立价格监测体系，组织建立价格信息网络，传递价格信息，向国家和省、市、区政府反映物价方面的重要情况，为政府实施宏观调控提供决策依据；向企业发布价格信息，引导企业的生产经营活动。</w:t>
      </w:r>
    </w:p>
    <w:p>
      <w:pPr>
        <w:ind w:firstLine="560"/>
        <w:rPr>
          <w:rFonts w:cs="Times New Roman"/>
          <w:sz w:val="32"/>
          <w:szCs w:val="32"/>
        </w:rPr>
      </w:pPr>
      <w:r>
        <w:rPr>
          <w:rFonts w:hint="eastAsia"/>
          <w:sz w:val="32"/>
          <w:szCs w:val="32"/>
        </w:rPr>
        <w:t>（六）依据国家和省、市有关价格法规，组织商品和服务价格及收费的监督检查工作，查处价格垄断、牟取暴利、哄抬价格和低价倾销的不正当价格行为。</w:t>
      </w:r>
    </w:p>
    <w:p>
      <w:pPr>
        <w:ind w:firstLine="560"/>
        <w:rPr>
          <w:rFonts w:cs="Times New Roman"/>
          <w:sz w:val="32"/>
          <w:szCs w:val="32"/>
        </w:rPr>
      </w:pPr>
      <w:r>
        <w:rPr>
          <w:rFonts w:hint="eastAsia"/>
          <w:sz w:val="32"/>
          <w:szCs w:val="32"/>
        </w:rPr>
        <w:t>（七）受理群众对价格违法行为的举报、投诉，承接上级机关交办和其它部门转办的价格举报案件，并依法对承接的举报案件进行和处理。</w:t>
      </w:r>
    </w:p>
    <w:p>
      <w:pPr>
        <w:ind w:firstLine="560"/>
        <w:rPr>
          <w:rFonts w:cs="Times New Roman"/>
          <w:sz w:val="32"/>
          <w:szCs w:val="32"/>
        </w:rPr>
      </w:pPr>
      <w:r>
        <w:rPr>
          <w:rFonts w:hint="eastAsia"/>
          <w:sz w:val="32"/>
          <w:szCs w:val="32"/>
        </w:rPr>
        <w:t>（八）接受国家机关的委托，对各种刑事、民事、经济、行政案件</w:t>
      </w:r>
      <w:r>
        <w:rPr>
          <w:rFonts w:hint="eastAsia" w:ascii="宋体" w:eastAsia="宋体" w:cs="宋体"/>
          <w:sz w:val="32"/>
          <w:szCs w:val="32"/>
        </w:rPr>
        <w:t>渉</w:t>
      </w:r>
      <w:r>
        <w:rPr>
          <w:rFonts w:hint="eastAsia" w:hAnsi="仿宋_GB2312"/>
          <w:sz w:val="32"/>
          <w:szCs w:val="32"/>
        </w:rPr>
        <w:t>及的扣押、追缴、没收、纠纷财物等</w:t>
      </w:r>
      <w:r>
        <w:rPr>
          <w:rFonts w:hint="eastAsia" w:ascii="宋体" w:eastAsia="宋体" w:cs="宋体"/>
          <w:sz w:val="32"/>
          <w:szCs w:val="32"/>
        </w:rPr>
        <w:t>渉</w:t>
      </w:r>
      <w:r>
        <w:rPr>
          <w:rFonts w:hint="eastAsia" w:hAnsi="仿宋_GB2312"/>
          <w:sz w:val="32"/>
          <w:szCs w:val="32"/>
        </w:rPr>
        <w:t>案物品的价格鉴定；</w:t>
      </w:r>
    </w:p>
    <w:p>
      <w:pPr>
        <w:ind w:firstLine="560"/>
        <w:rPr>
          <w:rFonts w:cs="Times New Roman"/>
          <w:sz w:val="32"/>
          <w:szCs w:val="32"/>
        </w:rPr>
      </w:pPr>
      <w:r>
        <w:rPr>
          <w:rFonts w:hint="eastAsia"/>
          <w:sz w:val="32"/>
          <w:szCs w:val="32"/>
        </w:rPr>
        <w:t>（九）接受各种市场主体的委托，对其提出的各种价格行为的合法性进行认定；</w:t>
      </w:r>
    </w:p>
    <w:p>
      <w:pPr>
        <w:ind w:firstLine="560"/>
        <w:rPr>
          <w:rFonts w:cs="Times New Roman"/>
          <w:sz w:val="32"/>
          <w:szCs w:val="32"/>
        </w:rPr>
      </w:pPr>
      <w:r>
        <w:rPr>
          <w:rFonts w:hint="eastAsia"/>
          <w:sz w:val="32"/>
          <w:szCs w:val="32"/>
        </w:rPr>
        <w:t>（十）对生产、流通领域的资产进行估价；</w:t>
      </w:r>
      <w:r>
        <w:rPr>
          <w:rFonts w:cs="Times New Roman"/>
          <w:sz w:val="32"/>
          <w:szCs w:val="32"/>
        </w:rPr>
        <w:tab/>
      </w:r>
    </w:p>
    <w:p>
      <w:pPr>
        <w:ind w:firstLine="560"/>
        <w:rPr>
          <w:rFonts w:cs="Times New Roman"/>
          <w:sz w:val="32"/>
          <w:szCs w:val="32"/>
        </w:rPr>
      </w:pPr>
      <w:r>
        <w:rPr>
          <w:rFonts w:hint="eastAsia"/>
          <w:sz w:val="32"/>
          <w:szCs w:val="32"/>
        </w:rPr>
        <w:t>（十一）为生产经营者、务实组织和公民提供价格政策、市场信息等咨询。</w:t>
      </w:r>
    </w:p>
    <w:p>
      <w:pPr>
        <w:ind w:firstLine="560"/>
        <w:rPr>
          <w:rFonts w:ascii="方正仿宋_GBK" w:eastAsia="方正仿宋_GBK" w:cs="Times New Roman"/>
          <w:sz w:val="28"/>
          <w:szCs w:val="28"/>
        </w:rPr>
      </w:pPr>
      <w:r>
        <w:rPr>
          <w:sz w:val="32"/>
          <w:szCs w:val="32"/>
        </w:rPr>
        <w:t xml:space="preserve"> (</w:t>
      </w:r>
      <w:r>
        <w:rPr>
          <w:rFonts w:hint="eastAsia"/>
          <w:sz w:val="32"/>
          <w:szCs w:val="32"/>
        </w:rPr>
        <w:t>十二</w:t>
      </w:r>
      <w:r>
        <w:rPr>
          <w:sz w:val="32"/>
          <w:szCs w:val="32"/>
        </w:rPr>
        <w:t>)</w:t>
      </w:r>
      <w:r>
        <w:rPr>
          <w:rFonts w:hint="eastAsia"/>
          <w:sz w:val="32"/>
          <w:szCs w:val="32"/>
        </w:rPr>
        <w:t>承办区政府交办的其它事项。</w:t>
      </w:r>
    </w:p>
    <w:p>
      <w:pPr>
        <w:rPr>
          <w:rFonts w:hAnsi="仿宋_GB2312" w:cs="Times New Roman"/>
          <w:sz w:val="32"/>
          <w:szCs w:val="32"/>
        </w:rPr>
      </w:pPr>
      <w:r>
        <w:rPr>
          <w:rFonts w:hint="eastAsia" w:hAnsi="仿宋_GB2312"/>
          <w:sz w:val="32"/>
          <w:szCs w:val="32"/>
        </w:rPr>
        <w:t>二、机构设置</w:t>
      </w:r>
    </w:p>
    <w:p>
      <w:pPr>
        <w:ind w:firstLine="560"/>
        <w:rPr>
          <w:rFonts w:hAnsi="仿宋_GB2312" w:cs="Times New Roman"/>
          <w:sz w:val="32"/>
          <w:szCs w:val="32"/>
        </w:rPr>
      </w:pPr>
      <w:r>
        <w:rPr>
          <w:rFonts w:hint="eastAsia" w:hAnsi="仿宋_GB2312"/>
          <w:sz w:val="32"/>
          <w:szCs w:val="32"/>
        </w:rPr>
        <w:t>路南区发展改革局下设办公室、发展统筹科、能源和环境保护科、综合改革科、产业和投资科、重点项目科、物价检查所（价格举报中心）共七个科室。</w:t>
      </w:r>
    </w:p>
    <w:p>
      <w:pPr>
        <w:rPr>
          <w:rFonts w:hAnsi="仿宋_GB2312" w:cs="Times New Roman"/>
          <w:sz w:val="32"/>
          <w:szCs w:val="32"/>
        </w:rPr>
      </w:pPr>
      <w:r>
        <w:rPr>
          <w:rFonts w:hint="eastAsia" w:hAnsi="仿宋_GB2312"/>
          <w:sz w:val="32"/>
          <w:szCs w:val="32"/>
        </w:rPr>
        <w:t>三、绩效预算信息</w:t>
      </w:r>
    </w:p>
    <w:p>
      <w:pPr>
        <w:jc w:val="center"/>
        <w:outlineLvl w:val="0"/>
        <w:rPr>
          <w:rFonts w:ascii="方正小标宋_GBK" w:eastAsia="方正小标宋_GBK" w:cs="Times New Roman"/>
          <w:color w:val="FF0000"/>
          <w:sz w:val="32"/>
          <w:szCs w:val="32"/>
        </w:rPr>
      </w:pPr>
      <w:bookmarkStart w:id="0" w:name="_Toc476902291"/>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FF0000"/>
              </w:rPr>
            </w:pPr>
            <w:r>
              <w:rPr>
                <w:rFonts w:ascii="方正小标宋_GBK" w:eastAsia="方正小标宋_GBK" w:cs="方正小标宋_GBK"/>
              </w:rPr>
              <w:t>303</w:t>
            </w:r>
            <w:r>
              <w:rPr>
                <w:rFonts w:hint="eastAsia" w:ascii="方正小标宋_GBK" w:eastAsia="方正小标宋_GBK" w:cs="方正小标宋_GBK"/>
              </w:rPr>
              <w:t>唐山市路南区发展改革局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FF0000"/>
              </w:rPr>
            </w:pPr>
            <w:r>
              <w:rPr>
                <w:rFonts w:hint="eastAsia" w:ascii="方正书宋_GBK" w:eastAsia="方正书宋_GBK" w:cs="方正书宋_GBK"/>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职责活动</w:t>
            </w:r>
          </w:p>
        </w:tc>
        <w:tc>
          <w:tcPr>
            <w:tcW w:w="1276" w:type="dxa"/>
            <w:vMerge w:val="restart"/>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年度预算数</w:t>
            </w:r>
          </w:p>
        </w:tc>
        <w:tc>
          <w:tcPr>
            <w:tcW w:w="2976" w:type="dxa"/>
            <w:vMerge w:val="restart"/>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内容描述</w:t>
            </w:r>
          </w:p>
        </w:tc>
        <w:tc>
          <w:tcPr>
            <w:tcW w:w="2976" w:type="dxa"/>
            <w:vMerge w:val="restart"/>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绩效目标</w:t>
            </w:r>
          </w:p>
        </w:tc>
        <w:tc>
          <w:tcPr>
            <w:tcW w:w="1417" w:type="dxa"/>
            <w:vMerge w:val="restart"/>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绩效指标</w:t>
            </w:r>
          </w:p>
        </w:tc>
        <w:tc>
          <w:tcPr>
            <w:tcW w:w="2948" w:type="dxa"/>
            <w:gridSpan w:val="4"/>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1417" w:type="dxa"/>
            <w:vMerge w:val="continue"/>
            <w:vAlign w:val="center"/>
          </w:tcPr>
          <w:p>
            <w:pPr>
              <w:spacing w:line="300" w:lineRule="exact"/>
              <w:jc w:val="left"/>
              <w:outlineLvl w:val="0"/>
              <w:rPr>
                <w:rFonts w:cs="Times New Roman"/>
                <w:color w:val="auto"/>
              </w:rPr>
            </w:pPr>
          </w:p>
        </w:tc>
        <w:tc>
          <w:tcPr>
            <w:tcW w:w="737" w:type="dxa"/>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优</w:t>
            </w:r>
          </w:p>
        </w:tc>
        <w:tc>
          <w:tcPr>
            <w:tcW w:w="737" w:type="dxa"/>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良</w:t>
            </w:r>
          </w:p>
        </w:tc>
        <w:tc>
          <w:tcPr>
            <w:tcW w:w="737" w:type="dxa"/>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中</w:t>
            </w:r>
          </w:p>
        </w:tc>
        <w:tc>
          <w:tcPr>
            <w:tcW w:w="737" w:type="dxa"/>
            <w:vAlign w:val="center"/>
          </w:tcPr>
          <w:p>
            <w:pPr>
              <w:spacing w:line="300" w:lineRule="exact"/>
              <w:jc w:val="center"/>
              <w:rPr>
                <w:rFonts w:ascii="方正书宋_GBK" w:eastAsia="方正书宋_GBK" w:cs="Times New Roman"/>
                <w:b/>
                <w:bCs/>
                <w:color w:val="auto"/>
                <w:sz w:val="21"/>
                <w:szCs w:val="21"/>
              </w:rPr>
            </w:pPr>
            <w:r>
              <w:rPr>
                <w:rFonts w:hint="eastAsia" w:ascii="方正书宋_GBK" w:eastAsia="方正书宋_GBK" w:cs="方正书宋_GBK"/>
                <w:b/>
                <w:bCs/>
                <w:color w:val="auto"/>
                <w:sz w:val="21"/>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促进区级区域经济发展</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研究提出区域经济协调发展、加快城镇化发展的政策建议；负责区域经济合作统筹协调。</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有效引导行业健康发展，提升全县产业和行业竞争力。</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促进经济快速发展</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分析全区固定资产投资状况，拟订全社会固定资产投资总规模和投资结构的调控目标、政策、措施。起草固定资产投资管理有关法规办法草案。依据国家、省、市政府投资、企业核准、备案等相关法律法规，提出（或参与提出）我区贯彻落实意见或管理办法，明确范围、标准、程序和时限等要求。研究提出深化投资体制改革建议，按照简政放权的要求，调整相关前置审批权限的意见，简化手续、优化程序、限时办结等。研究提出深化投资体制改革建议，按照简政放权的要求，调整相关前置审批权限的意见，简化手续、优化程序、限时办结等。做好与规划、土地、环境保</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促进全区经济平稳快速增长</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经济指标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组织全区改革开放和经济技术合作</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研究全县经济体制改革，组织指导和综合协调推进经济体制改革。</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研究全区经济体制改革和对外开放的重大问题，组织拟订综合性经济体制改革和对外开放方案。</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利用外资和境外投资管理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提出利用外资和境外投资规划和政策措施，组织协调重大利用外资招商项目的谋划和发布。负责限额以下外商直接投资项目的核准及备案；限额以上项目的审核及上报。负责全区利用国际金融组织贷款、外国政府贷款项目列入国家备选项目规划的申报；负责利用国际金融组织贷款项目建议书、可行性研究报告和利用外国政府贷款项目可行性研究报告的初审及上报。</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稳步提高全区利用外资、境外投资规模和水平。</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实际利用外资规模增长率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发展和改革政务管理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保障发展改革一般性日常业务开展和机关事务的基本运转。</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保障发展改革一般性日常业务开展和机关事务的基本运转。</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综合业务管理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普法、行政执法协调监督和行政复议、行政应诉工作；指导和协调全区招标投标工作，会同有关部门拟定招标投标相关政策；负责对在本局履行审批、核准手续的依法必须招标项目的招标核准，依法实施监督；指定招标公告发布媒介，并对招标公告发布活动依法实施监督；对我区纳入全省统一评标专家库的评标专家进行统一管理；会同有关部门对各类招标代理机构依法进行监督管理；负责全区招标投标信用评价体系的建设和管理；指导公共资源交易平台的建设，会同有关部门指导协调全区公共资源交易活动监督管理工作；指导协调全区电子招标投标活动，对电子招标投</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招投标管理制度完善，操作实施规范，应依法必须招投标项目覆盖全面</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项目招投标基本制度全面规范，应实施项目全面覆盖</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推进区级产业结构调整和转型升级</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组织实施综合性产业政策，推进经济结构战略性调整。按照经济和社会发展要求，引导产业升级和转型，支持重点领域和行业建设。</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有效引导行业健康发展，提升全区产业和行业竞争力。</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促进节能降耗、资源综合利用、生态建设和环境保护</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推进可持续发展战略，组织拟定发展循环经济、全社会能源资源节约和综合利用政策建议并协调实施；落实发展新能源和能源行业节能政策措施，开展能源合作；协调生态建设、能源资源节约和综合利用、环保产业和清洁生产促进等工作；承担区节能减排工作领导小组的具体工作，利用专项资金对节能技改、合同能源管理、重点用能行业（领域）和项目电力需求侧管理实施引导和扶持；参与编制生态建设、环境保护规划；开展节能监察、监测，加强节能宣传培训，落实碳排放报告、核算、考核及碳排放权交易制度，确保完成节能、削煤、降碳约束性指标；加强油气管道、新</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发挥专项资金的引导和激励的作用，通过采取补助、奖励等方式调动企业节能降耗的积极性，积极助推节能减排和大气污染防治工作取得成效，确保完成节能、削煤、降碳目标任务</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削煤量、单位</w:t>
            </w:r>
            <w:r>
              <w:rPr>
                <w:rFonts w:ascii="方正书宋_GBK" w:eastAsia="方正书宋_GBK" w:cs="方正书宋_GBK"/>
              </w:rPr>
              <w:t>GDP</w:t>
            </w:r>
            <w:r>
              <w:rPr>
                <w:rFonts w:hint="eastAsia" w:ascii="方正书宋_GBK" w:eastAsia="方正书宋_GBK" w:cs="方正书宋_GBK"/>
              </w:rPr>
              <w:t>能耗降低率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提高全社会诚信意识和诚信水平、改善经济社会运行环境</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协调推进整合各类信用信息资源、完善信用记录</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协调各部门，逐步建立起与我区经济社会发展水平相适应的社会信用体系建设框架和运行机制，为我区现代化一流城区的建设提供良好的诚信保障</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推进信用信息平台建设和区域的诚信体系建设，逐步建成政府监管、行业自律、企业内控和社会监督撍奈灰惶</w:t>
            </w:r>
            <w:r>
              <w:rPr>
                <w:rFonts w:hint="eastAsia"/>
              </w:rPr>
              <w:t>鍞</w:t>
            </w:r>
            <w:r>
              <w:rPr>
                <w:rFonts w:hint="eastAsia" w:ascii="方正书宋_GBK" w:eastAsia="方正书宋_GBK" w:cs="方正书宋_GBK"/>
                <w:b/>
                <w:bCs/>
              </w:rPr>
              <w:t>的社会信用体系</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逐步建立和完善部门、行业信用信息系统，实现信用信息的归集、整合、评价、公开、共享，并积极纳入全市统一的企业联合征信系统，逐步建立与行业信用管理系统和独立信用信息机构之间的互通互联和信息共享机制</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在全市统一的企业联合征信的框架下，探索建立企业信用数据交换中心和服务中心，为整个信用市场提供信用产品生产、交易、查询、使用等各项服务</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组织全区经济体制改革，组织指导和综合协调推进经济体制改革。</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承担指导推进和综合协调经济体制改革的责任；研究全区经济体制改革和对外开放的重大问题，组织拟订综合性经济体制改革方案，协调有关专项经济体制改革方案；会同有关部门搞好重要专项经济体制改革之间的衔接，指导区经济体制改革试点和改革试验区工作。</w:t>
            </w:r>
          </w:p>
        </w:tc>
        <w:tc>
          <w:tcPr>
            <w:tcW w:w="2976"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、研究全区经济体制改革的重大问题，统筹城乡发展。</w:t>
            </w:r>
            <w:r>
              <w:rPr>
                <w:rFonts w:ascii="方正书宋_GBK" w:eastAsia="方正书宋_GBK" w:cs="方正书宋_GBK"/>
              </w:rPr>
              <w:t>2</w:t>
            </w:r>
            <w:r>
              <w:rPr>
                <w:rFonts w:hint="eastAsia" w:ascii="方正书宋_GBK" w:eastAsia="方正书宋_GBK" w:cs="方正书宋_GBK"/>
              </w:rPr>
              <w:t>、指导推进和综合协调经济体制改革；组织拟订综合性经济体制改革方案；参与研究和衔接专项经济体制改革方案，协调推进专项经济体制改革。</w:t>
            </w:r>
            <w:r>
              <w:rPr>
                <w:rFonts w:ascii="方正书宋_GBK" w:eastAsia="方正书宋_GBK" w:cs="方正书宋_GBK"/>
              </w:rPr>
              <w:t>3</w:t>
            </w:r>
            <w:r>
              <w:rPr>
                <w:rFonts w:hint="eastAsia" w:ascii="方正书宋_GBK" w:eastAsia="方正书宋_GBK" w:cs="方正书宋_GBK"/>
              </w:rPr>
              <w:t>、牵头研究和指导本区改革，指导区经济体制改革试点和改革试验区工作。</w:t>
            </w:r>
            <w:r>
              <w:rPr>
                <w:rFonts w:ascii="方正书宋_GBK" w:eastAsia="方正书宋_GBK" w:cs="方正书宋_GBK"/>
              </w:rPr>
              <w:t>4</w:t>
            </w:r>
            <w:r>
              <w:rPr>
                <w:rFonts w:hint="eastAsia" w:ascii="方正书宋_GBK" w:eastAsia="方正书宋_GBK" w:cs="方正书宋_GBK"/>
              </w:rPr>
              <w:t>、组织开展经济社会发展、改革开放的重大问题和软课题研究。</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研究全区经济体制改革的重大问题，统筹城乡发展。</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指导推进和综合协调经济体制改革；组织拟订综合性经济体制改革方案；参与研究和衔接专项经济体制改革方案，协调推进专项经济体制改革；牵头研究和指导本区改革，指导区经济体制改革试点和改革试验区工作；织开展经济社会发展、改革开放的重大问题和软课题研究</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组织编制全区国民经济和社会发展计划的报告，组织编制全区中长期规划。</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拟订并组织实施全区国民经济和社会发展战略、中长期规划和年度计划；统筹协调经济社会发展，研究分析经济形势，提出全区国民经济发展和优化经济结构的目标、政策；提出综合运用各种经济手段和政策的建议；受区政府委托向区人大提交国民经济和社会发展计划的报告；负责监测经济和社会发展态势，承担预测预警和信息引导的责任；研究全区经济运行问题并提出建议。</w:t>
            </w:r>
          </w:p>
        </w:tc>
        <w:tc>
          <w:tcPr>
            <w:tcW w:w="2976" w:type="dxa"/>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、组织拟订全区国民经济和社会发展中长期规划纲要，指导部门和地方中长期规划编制；组织开展规划纲要实施情况的监测评估和动态调整。</w:t>
            </w:r>
            <w:r>
              <w:rPr>
                <w:rFonts w:ascii="方正书宋_GBK" w:eastAsia="方正书宋_GBK" w:cs="方正书宋_GBK"/>
              </w:rPr>
              <w:t>2</w:t>
            </w:r>
            <w:r>
              <w:rPr>
                <w:rFonts w:hint="eastAsia" w:ascii="方正书宋_GBK" w:eastAsia="方正书宋_GBK" w:cs="方正书宋_GBK"/>
              </w:rPr>
              <w:t>、组织拟订年度全区国民经济和社会发展主要指标计划；开展经济社会发展重大问题研究，提出年度全区经济工作思路和对策建议。</w:t>
            </w:r>
            <w:r>
              <w:rPr>
                <w:rFonts w:ascii="方正书宋_GBK" w:eastAsia="方正书宋_GBK" w:cs="方正书宋_GBK"/>
              </w:rPr>
              <w:t>3</w:t>
            </w:r>
            <w:r>
              <w:rPr>
                <w:rFonts w:hint="eastAsia" w:ascii="方正书宋_GBK" w:eastAsia="方正书宋_GBK" w:cs="方正书宋_GBK"/>
              </w:rPr>
              <w:t>、牵头起草年度全区国民经济和社会发展计划执行情况和下一年度计划安排情况报告，提交区人代会审议；向区人大常委会报告半年计划执行情况。</w:t>
            </w:r>
            <w:r>
              <w:rPr>
                <w:rFonts w:ascii="方正书宋_GBK" w:eastAsia="方正书宋_GBK" w:cs="方正书宋_GBK"/>
              </w:rPr>
              <w:t>4</w:t>
            </w:r>
            <w:r>
              <w:rPr>
                <w:rFonts w:hint="eastAsia" w:ascii="方正书宋_GBK" w:eastAsia="方正书宋_GBK" w:cs="方正书宋_GBK"/>
              </w:rPr>
              <w:t>、不定期开展全区经济运行新情况新问题调研分析，提出针对性对策建议。</w:t>
            </w:r>
            <w:r>
              <w:rPr>
                <w:rFonts w:ascii="方正书宋_GBK" w:eastAsia="方正书宋_GBK" w:cs="方正书宋_GBK"/>
              </w:rPr>
              <w:t>5</w:t>
            </w:r>
            <w:r>
              <w:rPr>
                <w:rFonts w:hint="eastAsia" w:ascii="方正书宋_GBK" w:eastAsia="方正书宋_GBK" w:cs="方正书宋_GBK"/>
              </w:rPr>
              <w:t>、开展季度全区经济形势分析，对全区总体经济运行态势实施监测，及时</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经济社会发展中长期规划及年度计划编制；全区经济运行情况监测分析研究。</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组织拟定区经济社会发展中长期规划及年度计划；组织监测研究全区经济运行态势</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规划和计划前瞻性、科学性、可操作性较强；规划目标全面、先进、可行。</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各类经济社会发展中长期规划编制完成率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outlineLvl w:val="0"/>
              <w:rPr>
                <w:rFonts w:cs="Times New Roman"/>
              </w:rPr>
            </w:pPr>
          </w:p>
        </w:tc>
        <w:tc>
          <w:tcPr>
            <w:tcW w:w="1276" w:type="dxa"/>
            <w:vAlign w:val="center"/>
          </w:tcPr>
          <w:p>
            <w:pPr>
              <w:spacing w:line="300" w:lineRule="exact"/>
              <w:jc w:val="left"/>
              <w:outlineLvl w:val="0"/>
              <w:rPr>
                <w:rFonts w:cs="Times New Roman"/>
              </w:rPr>
            </w:pPr>
          </w:p>
        </w:tc>
        <w:tc>
          <w:tcPr>
            <w:tcW w:w="2976" w:type="dxa"/>
            <w:vAlign w:val="center"/>
          </w:tcPr>
          <w:p>
            <w:pPr>
              <w:spacing w:line="300" w:lineRule="exact"/>
              <w:jc w:val="left"/>
              <w:outlineLvl w:val="0"/>
              <w:rPr>
                <w:rFonts w:cs="Times New Roman"/>
              </w:rPr>
            </w:pPr>
          </w:p>
        </w:tc>
        <w:tc>
          <w:tcPr>
            <w:tcW w:w="2976" w:type="dxa"/>
            <w:vAlign w:val="center"/>
          </w:tcPr>
          <w:p>
            <w:pPr>
              <w:spacing w:line="300" w:lineRule="exact"/>
              <w:jc w:val="left"/>
              <w:outlineLvl w:val="0"/>
              <w:rPr>
                <w:rFonts w:cs="Times New Roman"/>
              </w:rPr>
            </w:pPr>
          </w:p>
        </w:tc>
        <w:tc>
          <w:tcPr>
            <w:tcW w:w="1417" w:type="dxa"/>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价格总水平调控和价格管理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监测预测全区价格总水平及其结构变动趋势。管理全区与国民经济和人民生活关系重大、资源稀缺、自然垄断经营的商品价格，拟订作价原则、办法。</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保持市场价格总水平基本稳定</w:t>
            </w:r>
            <w:r>
              <w:rPr>
                <w:rFonts w:ascii="方正书宋_GBK" w:eastAsia="方正书宋_GBK" w:cs="方正书宋_GBK"/>
              </w:rPr>
              <w:t>,</w:t>
            </w:r>
            <w:r>
              <w:rPr>
                <w:rFonts w:hint="eastAsia" w:ascii="方正书宋_GBK" w:eastAsia="方正书宋_GBK" w:cs="方正书宋_GBK"/>
              </w:rPr>
              <w:t>努力保障改善民生，促进经济持续健康发展和社会和谐稳定。</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拟订提出价格总水平年度调控目标和建议</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开展日常、突发事件、重要节假日等价格巡查监测，密切跟踪国内外经济和价格运行，健全应对价格异常波动处理机制，及时启动应急预案，把价格总水平稳定在合理区间。</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调整商品、运输、服务价格</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落实国家电力、燃气、热力、成品油等价格政策，拟定调整方案，完善价格形成机制；调整部分地方铁路货物运价和铁路货物装卸费标准；制定市药品政府定价目录，提出调整方案和调控建议</w:t>
            </w:r>
            <w:r>
              <w:rPr>
                <w:rFonts w:ascii="方正书宋_GBK" w:eastAsia="方正书宋_GBK" w:cs="方正书宋_GBK"/>
              </w:rPr>
              <w:t>,</w:t>
            </w:r>
            <w:r>
              <w:rPr>
                <w:rFonts w:hint="eastAsia" w:ascii="方正书宋_GBK" w:eastAsia="方正书宋_GBK" w:cs="方正书宋_GBK"/>
              </w:rPr>
              <w:t>适时调整医疗服务、药品价格。</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收费标准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贯彻执行国家机关、公益事业、公用事业、中介服务和重要经营收费的标准。</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组织价格听证会</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组织召开听证会，征求经营者、消费者和有关方面的意见，对制定价格的必要性、可行性进行论证。</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涉案资产价格鉴定、认证</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理刑事案件涉案资产价格鉴定；办理民事、经济、仲裁案件涉案资产价格鉴定；对市场主体价格行为的合法性、价格水平的合理性公正性认证；对我区区级价格认证机构出具的价格结论存在异议的案件复核裁定。</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价格认定</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对纪检监察机关查办案件过程中价格不明、价格有争议的涉案财物进行价格认定；接受税务、民政等部门委托，对依法计征的应税物、低保户家庭收入和财产进行价格认证。</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价格成本调查和监审</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建立健全产品成本信息网络，组织成本汇总和成本分析；对列入《</w:t>
            </w:r>
            <w:r>
              <w:rPr>
                <w:rFonts w:ascii="方正书宋_GBK" w:eastAsia="方正书宋_GBK" w:cs="方正书宋_GBK"/>
              </w:rPr>
              <w:t>XX</w:t>
            </w:r>
            <w:r>
              <w:rPr>
                <w:rFonts w:hint="eastAsia" w:ascii="方正书宋_GBK" w:eastAsia="方正书宋_GBK" w:cs="方正书宋_GBK"/>
              </w:rPr>
              <w:t>区价格成本监审管理目录》的商品和收费项目进行调定价监审。</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实施全区农产品成本调查</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确定调查品种、调查区、调查户，进行组织实施和检查监督</w:t>
            </w:r>
            <w:r>
              <w:rPr>
                <w:rFonts w:ascii="方正书宋_GBK" w:eastAsia="方正书宋_GBK" w:cs="方正书宋_GBK"/>
              </w:rPr>
              <w:t>,</w:t>
            </w:r>
            <w:r>
              <w:rPr>
                <w:rFonts w:hint="eastAsia" w:ascii="方正书宋_GBK" w:eastAsia="方正书宋_GBK" w:cs="方正书宋_GBK"/>
              </w:rPr>
              <w:t>并对调查品种数据进行收集、审核、汇总、分析。</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价格成本调查和定价成本监审</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建立健全成本信息网络，组织成本汇总和成本分析；对列入《区价格成本监审管理目录》的商品和收费项目进行调定价监审。</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价格监督检查</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治理价格违法行为，规范收费环境和价格秩序；确保价格行政执法、处罚、审理程序合法；推行明码标价，促进明码实价；促进经营者价格自律，推进价格信用制度建设。</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法制与案件审理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对全区价格违法案件执法情况进行监督、检查，对价格违法案件的审理、提出处理意见；受理价格处罚的行政复议、行政诉讼、申诉等案件；培训全区价格检查干部相关法律法规知识。</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商品和服务价格监督检查</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范市场价格秩序，打击虚构原价、虚假打折等欺诈行为；完善电子商务、网络购物、快递等新兴服务业价格动态应急处置机制，打击价格违法行为，防范价格异动；开展价格诚信建设，探索不同行业明码标价的规则方法，建立经营者价格信用信息数据库，定期评定和发布经营者的价格信用等级。</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物价政务管理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负责物价系统综合业务管理和机关综合事务管理。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建立舆情应急处置机制，健全价格舆情监测系统。承办全区价格评估机构资质认定及全区价格鉴证师注册初审工作，加强行政许可后续监管，规范我省价格评估行业秩序。</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综合业务管理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建立并逐步完善经营者价格诚信档案、价格诚信记录公布制度；按照市场化的方向推进价格改革；建立舆情应急处置机制，健全价格舆情监测系统。</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综合事务管理</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完善制度保障，打造廉洁高效的价格政务服务环境。</w:t>
            </w: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bl>
    <w:p>
      <w:pPr>
        <w:ind w:firstLine="560"/>
        <w:rPr>
          <w:rFonts w:cs="Times New Roman"/>
          <w:sz w:val="32"/>
          <w:szCs w:val="32"/>
        </w:rPr>
      </w:pPr>
      <w:r>
        <w:rPr>
          <w:rFonts w:hint="eastAsia"/>
          <w:sz w:val="32"/>
          <w:szCs w:val="32"/>
        </w:rPr>
        <w:t>唐山市</w:t>
      </w:r>
      <w:r>
        <w:rPr>
          <w:rFonts w:hint="eastAsia" w:hAnsi="仿宋_GB2312"/>
          <w:sz w:val="32"/>
          <w:szCs w:val="32"/>
        </w:rPr>
        <w:t>路南区发展改革局</w:t>
      </w:r>
      <w:r>
        <w:rPr>
          <w:sz w:val="32"/>
          <w:szCs w:val="32"/>
        </w:rPr>
        <w:t>2017</w:t>
      </w:r>
      <w:r>
        <w:rPr>
          <w:rFonts w:hint="eastAsia"/>
          <w:sz w:val="32"/>
          <w:szCs w:val="32"/>
        </w:rPr>
        <w:t>年度发展规划目标：</w:t>
      </w:r>
      <w:r>
        <w:rPr>
          <w:sz w:val="32"/>
          <w:szCs w:val="32"/>
        </w:rPr>
        <w:t>1</w:t>
      </w:r>
      <w:r>
        <w:rPr>
          <w:rFonts w:hint="eastAsia"/>
          <w:sz w:val="32"/>
          <w:szCs w:val="32"/>
        </w:rPr>
        <w:t>、组织拟订全区国民经济和社会发展中长期规划纲要，指导部门和地方中长期规划编制；组织开展规划纲要实施情况的监测评估和动态调整。</w:t>
      </w:r>
      <w:r>
        <w:rPr>
          <w:sz w:val="32"/>
          <w:szCs w:val="32"/>
        </w:rPr>
        <w:t>2</w:t>
      </w:r>
      <w:r>
        <w:rPr>
          <w:rFonts w:hint="eastAsia"/>
          <w:sz w:val="32"/>
          <w:szCs w:val="32"/>
        </w:rPr>
        <w:t>、组织拟订年度全区国民经济和社会发展主要指标计划；开展经济社会发展重大问题研究，提出年度全区经济工作思路和对策建议。</w:t>
      </w:r>
      <w:r>
        <w:rPr>
          <w:sz w:val="32"/>
          <w:szCs w:val="32"/>
        </w:rPr>
        <w:t>3</w:t>
      </w:r>
      <w:r>
        <w:rPr>
          <w:rFonts w:hint="eastAsia"/>
          <w:sz w:val="32"/>
          <w:szCs w:val="32"/>
        </w:rPr>
        <w:t>、牵头起草年度全区国民经济和社会发展计划执行情况和下一年度计划安排情况报告，提交区人代会审议；向区人大常委会报告半年计划执行情况。</w:t>
      </w:r>
      <w:r>
        <w:rPr>
          <w:sz w:val="32"/>
          <w:szCs w:val="32"/>
        </w:rPr>
        <w:t>4</w:t>
      </w:r>
      <w:r>
        <w:rPr>
          <w:rFonts w:hint="eastAsia"/>
          <w:sz w:val="32"/>
          <w:szCs w:val="32"/>
        </w:rPr>
        <w:t>、不定期开展全区经济运行新情况新问题调研分析，提出针对性对策建议。</w:t>
      </w:r>
      <w:r>
        <w:rPr>
          <w:sz w:val="32"/>
          <w:szCs w:val="32"/>
        </w:rPr>
        <w:t>5</w:t>
      </w:r>
      <w:r>
        <w:rPr>
          <w:rFonts w:hint="eastAsia"/>
          <w:sz w:val="32"/>
          <w:szCs w:val="32"/>
        </w:rPr>
        <w:t>、开展季度全区经济形势分析，对全区总体经济运行态势实施监测，及时提出相关政策建议，做好预测预警，协调解决经济运行中的重大问题。全面落实项目建设“四个干”工作机制，加强项目谋划、协调、督导、考核，力争谋划一批、开工一批、竣工一批，推动全区项目建设迈上新台阶，促进全区经济可持续发展</w:t>
      </w:r>
      <w:r>
        <w:rPr>
          <w:sz w:val="32"/>
          <w:szCs w:val="32"/>
        </w:rPr>
        <w:t>;</w:t>
      </w:r>
      <w:r>
        <w:rPr>
          <w:rFonts w:hint="eastAsia"/>
          <w:sz w:val="32"/>
          <w:szCs w:val="32"/>
        </w:rPr>
        <w:t>有效引导行业健康发展，提升全区产业和行业竞争力</w:t>
      </w:r>
      <w:r>
        <w:rPr>
          <w:sz w:val="32"/>
          <w:szCs w:val="32"/>
        </w:rPr>
        <w:t>;</w:t>
      </w:r>
      <w:r>
        <w:rPr>
          <w:rFonts w:hint="eastAsia"/>
          <w:sz w:val="32"/>
          <w:szCs w:val="32"/>
        </w:rPr>
        <w:t>有效引导行业健康发展，提升全区产业和行业竞争力</w:t>
      </w:r>
      <w:r>
        <w:rPr>
          <w:sz w:val="32"/>
          <w:szCs w:val="32"/>
        </w:rPr>
        <w:t>;</w:t>
      </w:r>
      <w:r>
        <w:rPr>
          <w:rFonts w:hint="eastAsia"/>
          <w:sz w:val="32"/>
          <w:szCs w:val="32"/>
        </w:rPr>
        <w:t>研究全区经济体制改革和对外开放的重大问题，组织拟订综合性经济体制改革和对外开放方案；组织实施综合性产业政策，推进经济结构战略性调整。按照经济和社会发展要求，引导产业升级和转型，支持重点领域和行业建设。有效引导行业健康发展，提升全区产业和行业竞争力。</w:t>
      </w:r>
    </w:p>
    <w:p>
      <w:pPr>
        <w:ind w:firstLine="560"/>
        <w:rPr>
          <w:rFonts w:cs="Times New Roman"/>
          <w:sz w:val="32"/>
          <w:szCs w:val="32"/>
        </w:rPr>
      </w:pPr>
      <w:r>
        <w:rPr>
          <w:rFonts w:hint="eastAsia"/>
          <w:sz w:val="32"/>
          <w:szCs w:val="32"/>
        </w:rPr>
        <w:t>由预算部门根据党委政府的施政目标和决策部署、部门事业发展规划及年度工作计划确定。部门发展规划目标要与政府年度施政目标相衔接，保障政府相关目标的实现。部门年度发展规划目标要定性与定量描述相结合，尽可能量化，便于考核。</w:t>
      </w:r>
    </w:p>
    <w:p>
      <w:pPr>
        <w:ind w:firstLine="560"/>
        <w:rPr>
          <w:rFonts w:cs="Times New Roman"/>
          <w:sz w:val="32"/>
          <w:szCs w:val="32"/>
        </w:rPr>
      </w:pPr>
      <w:r>
        <w:rPr>
          <w:rFonts w:hint="eastAsia"/>
          <w:sz w:val="32"/>
          <w:szCs w:val="32"/>
        </w:rPr>
        <w:t>部门职责分类绩效目标</w:t>
      </w:r>
      <w:r>
        <w:rPr>
          <w:sz w:val="32"/>
          <w:szCs w:val="32"/>
        </w:rPr>
        <w:t>:</w:t>
      </w:r>
      <w:r>
        <w:t xml:space="preserve"> </w:t>
      </w:r>
      <w:r>
        <w:rPr>
          <w:rFonts w:hint="eastAsia"/>
          <w:sz w:val="32"/>
          <w:szCs w:val="32"/>
        </w:rPr>
        <w:t>各类经济社会发展中长期规划编制完成率</w:t>
      </w:r>
      <w:r>
        <w:rPr>
          <w:sz w:val="32"/>
          <w:szCs w:val="32"/>
        </w:rPr>
        <w:t>;</w:t>
      </w:r>
      <w:r>
        <w:rPr>
          <w:rFonts w:hint="eastAsia"/>
          <w:sz w:val="32"/>
          <w:szCs w:val="32"/>
        </w:rPr>
        <w:t>切实履行岗位职责，提高项目服务能力，促进经济可持续发展</w:t>
      </w:r>
      <w:r>
        <w:rPr>
          <w:sz w:val="32"/>
          <w:szCs w:val="32"/>
        </w:rPr>
        <w:t>;</w:t>
      </w:r>
      <w:r>
        <w:rPr>
          <w:rFonts w:hint="eastAsia"/>
          <w:sz w:val="32"/>
          <w:szCs w:val="32"/>
        </w:rPr>
        <w:t>不断扩大全区非上市公司发行企业（公司）债券规模；推进全区产业（股权）投资基金和创业投资发展及政策的制定和实施，不断扩大规模和投入领域；促进全区经济平稳快速增长；招投标管理制度完善，操作实施规范，应依法必须招投标项目覆盖全面；发挥专项资金的引导和激励的作用，通过采取补助、奖励等方式调动企业节能降耗的积极性，积极助推节能减排和大气污染防治工作取得成效，确保完成节能、削煤、降碳目标任务。推进全区居民生活用气阶梯气价政策，落实差别电价、惩罚性电价政策。加强全区行政事业性收费标准制定调整工作，政府价格决策科学和透明。确保农产品调查合理布局，样本具有代表性，提高调查数据的科学性，为国家和省政府提供成本数据、分析预测趋势，为制定宏观经济政策、价格政策、稳定市场物价服务。</w:t>
      </w:r>
    </w:p>
    <w:p>
      <w:pPr>
        <w:ind w:firstLine="560"/>
        <w:rPr>
          <w:rFonts w:cs="Times New Roman"/>
          <w:sz w:val="32"/>
          <w:szCs w:val="32"/>
        </w:rPr>
      </w:pPr>
      <w:r>
        <w:rPr>
          <w:rFonts w:hint="eastAsia"/>
          <w:sz w:val="32"/>
          <w:szCs w:val="32"/>
        </w:rPr>
        <w:t>使成本监审工作规范化、程序化，确保全区成本监审工作依法有序地开展，为政府制定价格提供成本数据支撑</w:t>
      </w:r>
    </w:p>
    <w:p>
      <w:pPr>
        <w:ind w:firstLine="560"/>
        <w:rPr>
          <w:rFonts w:cs="Times New Roman"/>
          <w:sz w:val="32"/>
          <w:szCs w:val="32"/>
        </w:rPr>
      </w:pPr>
      <w:r>
        <w:rPr>
          <w:rFonts w:hint="eastAsia"/>
          <w:sz w:val="32"/>
          <w:szCs w:val="32"/>
        </w:rPr>
        <w:t>确保依法办案，确保价格行政执法、处罚、审理程序合法。</w:t>
      </w:r>
    </w:p>
    <w:p>
      <w:pPr>
        <w:ind w:firstLine="560"/>
        <w:rPr>
          <w:rFonts w:cs="Times New Roman"/>
          <w:sz w:val="32"/>
          <w:szCs w:val="32"/>
        </w:rPr>
      </w:pPr>
      <w:r>
        <w:rPr>
          <w:rFonts w:hint="eastAsia"/>
          <w:sz w:val="32"/>
          <w:szCs w:val="32"/>
        </w:rPr>
        <w:t>治理价格违法行为，规范收费环境和价格秩序；确保价格行政执法、处罚、审理程序合法；推行明码标价，促进明码实价；促进经营者价格自律，推进价格信用制度建设。</w:t>
      </w:r>
    </w:p>
    <w:p>
      <w:pPr>
        <w:ind w:firstLine="560"/>
        <w:rPr>
          <w:rFonts w:cs="Times New Roman"/>
          <w:sz w:val="32"/>
          <w:szCs w:val="32"/>
        </w:rPr>
      </w:pPr>
      <w:r>
        <w:rPr>
          <w:rFonts w:hint="eastAsia"/>
          <w:sz w:val="32"/>
          <w:szCs w:val="32"/>
        </w:rPr>
        <w:t>进一步健全经营者价格诚信档案，完善舆情应急处置平台。</w:t>
      </w:r>
    </w:p>
    <w:p>
      <w:pPr>
        <w:ind w:firstLine="560"/>
        <w:rPr>
          <w:rFonts w:cs="Times New Roman"/>
          <w:sz w:val="32"/>
          <w:szCs w:val="32"/>
        </w:rPr>
      </w:pPr>
      <w:r>
        <w:rPr>
          <w:rFonts w:hint="eastAsia"/>
          <w:sz w:val="32"/>
          <w:szCs w:val="32"/>
        </w:rPr>
        <w:t>提高行政效率和服务质量。</w:t>
      </w:r>
    </w:p>
    <w:p>
      <w:pPr>
        <w:ind w:firstLine="560"/>
        <w:rPr>
          <w:sz w:val="32"/>
          <w:szCs w:val="32"/>
        </w:rPr>
      </w:pPr>
      <w:r>
        <w:rPr>
          <w:rFonts w:hint="eastAsia"/>
          <w:sz w:val="32"/>
          <w:szCs w:val="32"/>
        </w:rPr>
        <w:t>客观、公正、合理出具价格认证结论，为</w:t>
      </w:r>
      <w:r>
        <w:rPr>
          <w:rFonts w:hint="eastAsia"/>
          <w:sz w:val="32"/>
          <w:szCs w:val="32"/>
          <w:lang w:eastAsia="zh-CN"/>
        </w:rPr>
        <w:t>纪检监察机关</w:t>
      </w:r>
      <w:r>
        <w:rPr>
          <w:rFonts w:hint="eastAsia"/>
          <w:sz w:val="32"/>
          <w:szCs w:val="32"/>
        </w:rPr>
        <w:t>、税务机关、民政部门等办理案件提供依据，维护公平公正。保护国家、公民、法人和其他组织的合法权益。</w:t>
      </w:r>
      <w:r>
        <w:rPr>
          <w:sz w:val="32"/>
          <w:szCs w:val="32"/>
        </w:rPr>
        <w:t xml:space="preserve"> </w:t>
      </w:r>
    </w:p>
    <w:p>
      <w:pPr>
        <w:pStyle w:val="8"/>
        <w:adjustRightInd w:val="0"/>
        <w:snapToGrid w:val="0"/>
        <w:spacing w:line="360" w:lineRule="auto"/>
        <w:ind w:firstLine="31680"/>
        <w:rPr>
          <w:rFonts w:ascii="仿宋_GB2312" w:eastAsia="仿宋_GB2312" w:cs="Times New Roman"/>
          <w:sz w:val="32"/>
          <w:szCs w:val="32"/>
        </w:rPr>
      </w:pPr>
      <w:r>
        <w:rPr>
          <w:rFonts w:hint="eastAsia" w:ascii="仿宋_GB2312" w:eastAsia="仿宋_GB2312" w:cs="仿宋_GB2312"/>
          <w:sz w:val="32"/>
          <w:szCs w:val="32"/>
        </w:rPr>
        <w:t>实现本年度发展规划目标的保障措施</w:t>
      </w:r>
      <w:r>
        <w:rPr>
          <w:rFonts w:ascii="仿宋_GB2312" w:eastAsia="仿宋_GB2312" w:cs="仿宋_GB2312"/>
          <w:sz w:val="32"/>
          <w:szCs w:val="32"/>
        </w:rPr>
        <w:t xml:space="preserve">: </w:t>
      </w:r>
      <w:r>
        <w:rPr>
          <w:rFonts w:hint="eastAsia" w:ascii="仿宋_GB2312" w:eastAsia="仿宋_GB2312" w:cs="仿宋_GB2312"/>
          <w:sz w:val="32"/>
          <w:szCs w:val="32"/>
        </w:rPr>
        <w:t>组织拟定区经济社会发展中长期规划及年度计划；组织监测研究全区经济运行态势</w:t>
      </w:r>
      <w:r>
        <w:rPr>
          <w:rFonts w:ascii="仿宋_GB2312" w:eastAsia="仿宋_GB2312" w:cs="仿宋_GB2312"/>
          <w:sz w:val="32"/>
          <w:szCs w:val="32"/>
        </w:rPr>
        <w:t>;1</w:t>
      </w:r>
      <w:r>
        <w:rPr>
          <w:rFonts w:hint="eastAsia" w:ascii="仿宋_GB2312" w:eastAsia="仿宋_GB2312" w:cs="仿宋_GB2312"/>
          <w:sz w:val="32"/>
          <w:szCs w:val="32"/>
        </w:rPr>
        <w:t>、结合全区中长期发展规划，谋划并组织、实施</w:t>
      </w:r>
      <w:r>
        <w:rPr>
          <w:rFonts w:ascii="仿宋_GB2312" w:eastAsia="仿宋_GB2312"/>
          <w:sz w:val="32"/>
          <w:szCs w:val="32"/>
        </w:rPr>
        <w:t>“</w:t>
      </w:r>
      <w:r>
        <w:rPr>
          <w:rFonts w:hint="eastAsia" w:ascii="仿宋_GB2312" w:eastAsia="仿宋_GB2312" w:cs="仿宋_GB2312"/>
          <w:sz w:val="32"/>
          <w:szCs w:val="32"/>
        </w:rPr>
        <w:t>十三五</w:t>
      </w:r>
      <w:r>
        <w:rPr>
          <w:rFonts w:ascii="仿宋_GB2312" w:eastAsia="仿宋_GB2312"/>
          <w:sz w:val="32"/>
          <w:szCs w:val="32"/>
        </w:rPr>
        <w:t>”</w:t>
      </w:r>
      <w:r>
        <w:rPr>
          <w:rFonts w:hint="eastAsia" w:ascii="仿宋_GB2312" w:eastAsia="仿宋_GB2312" w:cs="仿宋_GB2312"/>
          <w:sz w:val="32"/>
          <w:szCs w:val="32"/>
        </w:rPr>
        <w:t>事关全区经济和社会发展全局的重大项目；</w:t>
      </w:r>
      <w:r>
        <w:rPr>
          <w:rFonts w:ascii="仿宋_GB2312" w:eastAsia="仿宋_GB2312" w:cs="仿宋_GB2312"/>
          <w:sz w:val="32"/>
          <w:szCs w:val="32"/>
        </w:rPr>
        <w:t>2</w:t>
      </w:r>
      <w:r>
        <w:rPr>
          <w:rFonts w:hint="eastAsia" w:ascii="仿宋_GB2312" w:eastAsia="仿宋_GB2312" w:cs="仿宋_GB2312"/>
          <w:sz w:val="32"/>
          <w:szCs w:val="32"/>
        </w:rPr>
        <w:t>、编制</w:t>
      </w:r>
      <w:r>
        <w:rPr>
          <w:rFonts w:ascii="仿宋_GB2312" w:eastAsia="仿宋_GB2312" w:cs="仿宋_GB2312"/>
          <w:sz w:val="32"/>
          <w:szCs w:val="32"/>
        </w:rPr>
        <w:t>2016</w:t>
      </w:r>
      <w:r>
        <w:rPr>
          <w:rFonts w:hint="eastAsia" w:ascii="仿宋_GB2312" w:eastAsia="仿宋_GB2312" w:cs="仿宋_GB2312"/>
          <w:sz w:val="32"/>
          <w:szCs w:val="32"/>
        </w:rPr>
        <w:t>年全区项目建设计划，落实项目建设</w:t>
      </w:r>
      <w:r>
        <w:rPr>
          <w:rFonts w:ascii="仿宋_GB2312" w:eastAsia="仿宋_GB2312"/>
          <w:sz w:val="32"/>
          <w:szCs w:val="32"/>
        </w:rPr>
        <w:t>“</w:t>
      </w:r>
      <w:r>
        <w:rPr>
          <w:rFonts w:hint="eastAsia" w:ascii="仿宋_GB2312" w:eastAsia="仿宋_GB2312" w:cs="仿宋_GB2312"/>
          <w:sz w:val="32"/>
          <w:szCs w:val="32"/>
        </w:rPr>
        <w:t>四个干</w:t>
      </w:r>
      <w:r>
        <w:rPr>
          <w:rFonts w:ascii="仿宋_GB2312" w:eastAsia="仿宋_GB2312"/>
          <w:sz w:val="32"/>
          <w:szCs w:val="32"/>
        </w:rPr>
        <w:t>”</w:t>
      </w:r>
      <w:r>
        <w:rPr>
          <w:rFonts w:hint="eastAsia" w:ascii="仿宋_GB2312" w:eastAsia="仿宋_GB2312" w:cs="仿宋_GB2312"/>
          <w:sz w:val="32"/>
          <w:szCs w:val="32"/>
        </w:rPr>
        <w:t>工作任务分解，并督导区直相关单位，各乡、镇、街组织实施；</w:t>
      </w:r>
      <w:r>
        <w:rPr>
          <w:rFonts w:ascii="仿宋_GB2312" w:eastAsia="仿宋_GB2312" w:cs="仿宋_GB2312"/>
          <w:sz w:val="32"/>
          <w:szCs w:val="32"/>
        </w:rPr>
        <w:t>3</w:t>
      </w:r>
      <w:r>
        <w:rPr>
          <w:rFonts w:hint="eastAsia" w:ascii="仿宋_GB2312" w:eastAsia="仿宋_GB2312" w:cs="仿宋_GB2312"/>
          <w:sz w:val="32"/>
          <w:szCs w:val="32"/>
        </w:rPr>
        <w:t>、按照省市的相关要求，做好省市重点项目申报工作；</w:t>
      </w:r>
      <w:r>
        <w:rPr>
          <w:rFonts w:ascii="仿宋_GB2312" w:eastAsia="仿宋_GB2312" w:cs="仿宋_GB2312"/>
          <w:sz w:val="32"/>
          <w:szCs w:val="32"/>
        </w:rPr>
        <w:t>4</w:t>
      </w:r>
      <w:r>
        <w:rPr>
          <w:rFonts w:hint="eastAsia" w:ascii="仿宋_GB2312" w:eastAsia="仿宋_GB2312" w:cs="仿宋_GB2312"/>
          <w:sz w:val="32"/>
          <w:szCs w:val="32"/>
        </w:rPr>
        <w:t>、加强项目督导调度，定期汇总项目建设进度情况，及时向上反馈；</w:t>
      </w:r>
      <w:r>
        <w:rPr>
          <w:rFonts w:ascii="仿宋_GB2312" w:eastAsia="仿宋_GB2312" w:cs="仿宋_GB2312"/>
          <w:sz w:val="32"/>
          <w:szCs w:val="32"/>
        </w:rPr>
        <w:t>5</w:t>
      </w:r>
      <w:r>
        <w:rPr>
          <w:rFonts w:hint="eastAsia" w:ascii="仿宋_GB2312" w:eastAsia="仿宋_GB2312" w:cs="仿宋_GB2312"/>
          <w:sz w:val="32"/>
          <w:szCs w:val="32"/>
        </w:rPr>
        <w:t>、组织、协调、调度、完成好市委、市政府对全区项目建设情况的督导考核；</w:t>
      </w:r>
      <w:r>
        <w:rPr>
          <w:rFonts w:ascii="仿宋_GB2312" w:eastAsia="仿宋_GB2312" w:cs="仿宋_GB2312"/>
          <w:sz w:val="32"/>
          <w:szCs w:val="32"/>
        </w:rPr>
        <w:t>6</w:t>
      </w:r>
      <w:r>
        <w:rPr>
          <w:rFonts w:hint="eastAsia" w:ascii="仿宋_GB2312" w:eastAsia="仿宋_GB2312" w:cs="仿宋_GB2312"/>
          <w:sz w:val="32"/>
          <w:szCs w:val="32"/>
        </w:rPr>
        <w:t>、统筹区有关部门，整体推进京津冀协调发展工作，着力推进相关重点项目。</w:t>
      </w:r>
      <w:r>
        <w:rPr>
          <w:rFonts w:ascii="仿宋_GB2312" w:eastAsia="仿宋_GB2312" w:cs="仿宋_GB2312"/>
          <w:sz w:val="32"/>
          <w:szCs w:val="32"/>
        </w:rPr>
        <w:t>7</w:t>
      </w:r>
      <w:r>
        <w:rPr>
          <w:rFonts w:hint="eastAsia" w:ascii="仿宋_GB2312" w:eastAsia="仿宋_GB2312" w:cs="仿宋_GB2312"/>
          <w:sz w:val="32"/>
          <w:szCs w:val="32"/>
        </w:rPr>
        <w:t>、进一步建立健全项目管理制度，加强对全区项目建设情况考核。</w:t>
      </w:r>
      <w:r>
        <w:rPr>
          <w:rFonts w:ascii="仿宋_GB2312" w:eastAsia="仿宋_GB2312" w:cs="仿宋_GB2312"/>
          <w:sz w:val="32"/>
          <w:szCs w:val="32"/>
        </w:rPr>
        <w:t>8</w:t>
      </w:r>
      <w:r>
        <w:rPr>
          <w:rFonts w:hint="eastAsia" w:ascii="仿宋_GB2312" w:eastAsia="仿宋_GB2312" w:cs="仿宋_GB2312"/>
          <w:sz w:val="32"/>
          <w:szCs w:val="32"/>
        </w:rPr>
        <w:t>、按区委区政府要求，组织协调准备好全市重点项目观摩活动。</w:t>
      </w:r>
      <w:r>
        <w:rPr>
          <w:rFonts w:ascii="仿宋_GB2312" w:eastAsia="仿宋_GB2312" w:cs="仿宋_GB2312"/>
          <w:sz w:val="32"/>
          <w:szCs w:val="32"/>
        </w:rPr>
        <w:t>9</w:t>
      </w:r>
      <w:r>
        <w:rPr>
          <w:rFonts w:hint="eastAsia" w:ascii="仿宋_GB2312" w:eastAsia="仿宋_GB2312" w:cs="仿宋_GB2312"/>
          <w:sz w:val="32"/>
          <w:szCs w:val="32"/>
        </w:rPr>
        <w:t>、完成区委、区政府交办的其他工作任务</w:t>
      </w:r>
      <w:r>
        <w:rPr>
          <w:rFonts w:ascii="仿宋_GB2312" w:eastAsia="仿宋_GB2312" w:cs="仿宋_GB2312"/>
          <w:sz w:val="32"/>
          <w:szCs w:val="32"/>
        </w:rPr>
        <w:t>;</w:t>
      </w:r>
      <w:r>
        <w:rPr>
          <w:rFonts w:hint="eastAsia" w:ascii="仿宋_GB2312" w:eastAsia="仿宋_GB2312" w:cs="仿宋_GB2312"/>
          <w:sz w:val="32"/>
          <w:szCs w:val="32"/>
        </w:rPr>
        <w:t>参与提出我区贯彻国家财政政策、货币政策和财政金融体制改革的实施意见；对在区级工商管理部门登记注册的创业投资企业报送的备案、年检申请材料，以区发展改革委名义呈报市发展改革委；对在区工商管理部门登记注册的限额以下区级股权投资基金企业、投资基金管理企业报送的备案、年检材料进行审查；组织拟订全区促进私募股权投资基金发展的政策措施；组织拟订全区推进产业投资基金和创业投资的发展及制度；组织拟订区政府出资股权投资基金的标准规范、出资比例和退出机制；负责产业投资基金、创业投资基金及其他类型私募股权投资基金及其管理机构的监督管理。监测分析全区固定资产投资状况研究提出深化投资体制改革建议，按照简政放权的要求，调整相关前置审批权限的意见，简化手续、优化程序、限时办结等。会同有关部门对各类招标代理机构依法进行监督管理；负责全区招标投标信用评价体系的建设和管理；指导公共资源交易平台的建设，会同有关部门指导协调全区公共资源交易活动监督管理工作；指导协调全区电子招标投标活动，对电子招标投标活动实施监督，依法查处违法行为；依法查处招标投标违法行为；推进可持续发展战略，组织拟定发展循环经济、全社会能源资源节约和综合利用政策建议并协调实施；落实发展新能源和能源行业节能政策措施，开展能源合作；协调生态建设、能源资源节约和综合利用、环保产业和清洁生产促进等工作；承担区节能减排工作领导小组的具体工作，利用专项资金对节能技改、合同能源管理、重点用能行业（领域）和项目电力需求侧管理实施引导和扶持；参与编制生态建设、环境保护规划；开展节能监察、监测，加强节能宣传培训，落实碳排放报告、核算、考核及碳排放权交易制度，确保完成节能、削煤、降碳约束性指标。</w:t>
      </w:r>
    </w:p>
    <w:p>
      <w:pPr>
        <w:pStyle w:val="8"/>
        <w:adjustRightInd w:val="0"/>
        <w:snapToGrid w:val="0"/>
        <w:spacing w:line="360" w:lineRule="auto"/>
        <w:ind w:firstLine="31680"/>
        <w:rPr>
          <w:rFonts w:ascii="仿宋_GB2312" w:eastAsia="仿宋_GB2312" w:cs="Times New Roman"/>
          <w:sz w:val="32"/>
          <w:szCs w:val="32"/>
        </w:rPr>
      </w:pPr>
      <w:r>
        <w:rPr>
          <w:rFonts w:hint="eastAsia" w:ascii="仿宋_GB2312" w:eastAsia="仿宋_GB2312" w:cs="仿宋_GB2312"/>
          <w:sz w:val="32"/>
          <w:szCs w:val="32"/>
        </w:rPr>
        <w:t>实现本年度发展规划目标所采取的政策措施、开展的重大活动、组织实施的重大项目及资金资源配置情况。</w:t>
      </w:r>
    </w:p>
    <w:p>
      <w:pPr>
        <w:ind w:firstLine="560"/>
        <w:rPr>
          <w:rFonts w:hAnsi="仿宋_GB2312" w:cs="Times New Roman"/>
          <w:sz w:val="32"/>
          <w:szCs w:val="32"/>
        </w:rPr>
      </w:pPr>
      <w:r>
        <w:rPr>
          <w:rFonts w:hint="eastAsia" w:hAnsi="仿宋_GB2312"/>
          <w:sz w:val="32"/>
          <w:szCs w:val="32"/>
        </w:rPr>
        <w:t>四、</w:t>
      </w:r>
      <w:r>
        <w:rPr>
          <w:rFonts w:hAnsi="仿宋_GB2312"/>
          <w:sz w:val="32"/>
          <w:szCs w:val="32"/>
        </w:rPr>
        <w:t>2017</w:t>
      </w:r>
      <w:r>
        <w:rPr>
          <w:rFonts w:hint="eastAsia" w:hAnsi="仿宋_GB2312"/>
          <w:sz w:val="32"/>
          <w:szCs w:val="32"/>
        </w:rPr>
        <w:t>年区发改局部门预算情况说明</w:t>
      </w:r>
    </w:p>
    <w:p>
      <w:pPr>
        <w:ind w:firstLine="560"/>
        <w:rPr>
          <w:rFonts w:hAnsi="仿宋_GB2312" w:cs="Times New Roman"/>
          <w:sz w:val="32"/>
          <w:szCs w:val="32"/>
        </w:rPr>
      </w:pPr>
      <w:r>
        <w:rPr>
          <w:rFonts w:hint="eastAsia" w:hAnsi="仿宋_GB2312"/>
          <w:sz w:val="32"/>
          <w:szCs w:val="32"/>
        </w:rPr>
        <w:t>区发改局</w:t>
      </w:r>
      <w:r>
        <w:rPr>
          <w:rFonts w:hAnsi="仿宋_GB2312"/>
          <w:sz w:val="32"/>
          <w:szCs w:val="32"/>
        </w:rPr>
        <w:t>2017</w:t>
      </w:r>
      <w:r>
        <w:rPr>
          <w:rFonts w:hint="eastAsia" w:hAnsi="仿宋_GB2312"/>
          <w:sz w:val="32"/>
          <w:szCs w:val="32"/>
        </w:rPr>
        <w:t>年一般公共预算拨款收入为</w:t>
      </w:r>
      <w:r>
        <w:rPr>
          <w:rFonts w:hAnsi="仿宋_GB2312"/>
          <w:sz w:val="32"/>
          <w:szCs w:val="32"/>
        </w:rPr>
        <w:t>519.61</w:t>
      </w:r>
      <w:r>
        <w:rPr>
          <w:rFonts w:hint="eastAsia" w:hAnsi="仿宋_GB2312"/>
          <w:sz w:val="32"/>
          <w:szCs w:val="32"/>
        </w:rPr>
        <w:t>万元，全部非限额补助收入。共安排一般公共预算支出</w:t>
      </w:r>
      <w:r>
        <w:rPr>
          <w:rFonts w:hAnsi="仿宋_GB2312"/>
          <w:sz w:val="32"/>
          <w:szCs w:val="32"/>
        </w:rPr>
        <w:t>519.61</w:t>
      </w:r>
      <w:r>
        <w:rPr>
          <w:rFonts w:hint="eastAsia" w:hAnsi="仿宋_GB2312"/>
          <w:sz w:val="32"/>
          <w:szCs w:val="32"/>
        </w:rPr>
        <w:t>万元，其中基本支出</w:t>
      </w:r>
      <w:r>
        <w:rPr>
          <w:rFonts w:hAnsi="仿宋_GB2312"/>
          <w:sz w:val="32"/>
          <w:szCs w:val="32"/>
        </w:rPr>
        <w:t>519.61</w:t>
      </w:r>
      <w:r>
        <w:rPr>
          <w:rFonts w:hint="eastAsia" w:hAnsi="仿宋_GB2312"/>
          <w:sz w:val="32"/>
          <w:szCs w:val="32"/>
        </w:rPr>
        <w:t>万元，包含人员经费</w:t>
      </w:r>
      <w:r>
        <w:rPr>
          <w:rFonts w:hAnsi="仿宋_GB2312"/>
          <w:sz w:val="32"/>
          <w:szCs w:val="32"/>
        </w:rPr>
        <w:t>492.94</w:t>
      </w:r>
      <w:r>
        <w:rPr>
          <w:rFonts w:hint="eastAsia" w:hAnsi="仿宋_GB2312"/>
          <w:sz w:val="32"/>
          <w:szCs w:val="32"/>
        </w:rPr>
        <w:t>万元</w:t>
      </w:r>
      <w:r>
        <w:rPr>
          <w:rFonts w:hAnsi="仿宋_GB2312"/>
          <w:sz w:val="32"/>
          <w:szCs w:val="32"/>
        </w:rPr>
        <w:t>,</w:t>
      </w:r>
      <w:r>
        <w:rPr>
          <w:rFonts w:hint="eastAsia" w:hAnsi="仿宋_GB2312"/>
          <w:sz w:val="32"/>
          <w:szCs w:val="32"/>
        </w:rPr>
        <w:t>日常经费</w:t>
      </w:r>
      <w:r>
        <w:rPr>
          <w:rFonts w:hAnsi="仿宋_GB2312"/>
          <w:sz w:val="32"/>
          <w:szCs w:val="32"/>
        </w:rPr>
        <w:t>26.67</w:t>
      </w:r>
      <w:r>
        <w:rPr>
          <w:rFonts w:hint="eastAsia" w:hAnsi="仿宋_GB2312"/>
          <w:sz w:val="32"/>
          <w:szCs w:val="32"/>
        </w:rPr>
        <w:t>万元。三公经费预算安排</w:t>
      </w:r>
      <w:r>
        <w:rPr>
          <w:rFonts w:hAnsi="仿宋_GB2312"/>
          <w:sz w:val="32"/>
          <w:szCs w:val="32"/>
        </w:rPr>
        <w:t>4.18</w:t>
      </w:r>
      <w:r>
        <w:rPr>
          <w:rFonts w:hint="eastAsia" w:hAnsi="仿宋_GB2312"/>
          <w:sz w:val="32"/>
          <w:szCs w:val="32"/>
        </w:rPr>
        <w:t>万元，其中公务用车运行维护费</w:t>
      </w:r>
      <w:r>
        <w:rPr>
          <w:rFonts w:hAnsi="仿宋_GB2312"/>
          <w:sz w:val="32"/>
          <w:szCs w:val="32"/>
        </w:rPr>
        <w:t>3</w:t>
      </w:r>
      <w:r>
        <w:rPr>
          <w:rFonts w:hint="eastAsia" w:hAnsi="仿宋_GB2312"/>
          <w:sz w:val="32"/>
          <w:szCs w:val="32"/>
        </w:rPr>
        <w:t>万元；公务接待费</w:t>
      </w:r>
      <w:r>
        <w:rPr>
          <w:rFonts w:hAnsi="仿宋_GB2312"/>
          <w:sz w:val="32"/>
          <w:szCs w:val="32"/>
        </w:rPr>
        <w:t>1</w:t>
      </w:r>
      <w:r>
        <w:rPr>
          <w:rFonts w:hint="eastAsia" w:hAnsi="仿宋_GB2312"/>
          <w:sz w:val="32"/>
          <w:szCs w:val="32"/>
        </w:rPr>
        <w:t>万元；培训费</w:t>
      </w:r>
      <w:r>
        <w:rPr>
          <w:rFonts w:hAnsi="仿宋_GB2312"/>
          <w:sz w:val="32"/>
          <w:szCs w:val="32"/>
        </w:rPr>
        <w:t>0.18</w:t>
      </w:r>
      <w:r>
        <w:rPr>
          <w:rFonts w:hint="eastAsia" w:hAnsi="仿宋_GB2312"/>
          <w:sz w:val="32"/>
          <w:szCs w:val="32"/>
        </w:rPr>
        <w:t>万元，三公经费与去年相比增加了</w:t>
      </w:r>
      <w:r>
        <w:rPr>
          <w:rFonts w:hAnsi="仿宋_GB2312"/>
          <w:sz w:val="32"/>
          <w:szCs w:val="32"/>
        </w:rPr>
        <w:t>0.2</w:t>
      </w:r>
      <w:r>
        <w:rPr>
          <w:rFonts w:hint="eastAsia" w:hAnsi="仿宋_GB2312"/>
          <w:sz w:val="32"/>
          <w:szCs w:val="32"/>
        </w:rPr>
        <w:t>万元。2016年一般公共预算收入</w:t>
      </w:r>
      <w:r>
        <w:rPr>
          <w:rFonts w:hint="eastAsia" w:hAnsi="仿宋_GB2312"/>
          <w:sz w:val="32"/>
          <w:szCs w:val="32"/>
          <w:lang w:val="en-US" w:eastAsia="zh-CN"/>
        </w:rPr>
        <w:t>136.05</w:t>
      </w:r>
      <w:r>
        <w:rPr>
          <w:rFonts w:hint="eastAsia" w:hAnsi="仿宋_GB2312"/>
          <w:sz w:val="32"/>
          <w:szCs w:val="32"/>
        </w:rPr>
        <w:t>万元，2017年部门预算较2016年增长万元，其中：基本支出增长</w:t>
      </w:r>
      <w:r>
        <w:rPr>
          <w:rFonts w:hint="eastAsia" w:hAnsi="仿宋_GB2312"/>
          <w:sz w:val="32"/>
          <w:szCs w:val="32"/>
          <w:lang w:val="en-US" w:eastAsia="zh-CN"/>
        </w:rPr>
        <w:t>383.56</w:t>
      </w:r>
      <w:r>
        <w:rPr>
          <w:rFonts w:hint="eastAsia" w:hAnsi="仿宋_GB2312"/>
          <w:sz w:val="32"/>
          <w:szCs w:val="32"/>
        </w:rPr>
        <w:t>万元，主要是增加人员经费</w:t>
      </w:r>
      <w:r>
        <w:rPr>
          <w:rFonts w:hint="eastAsia" w:hAnsi="仿宋_GB2312"/>
          <w:sz w:val="32"/>
          <w:szCs w:val="32"/>
          <w:lang w:eastAsia="zh-CN"/>
        </w:rPr>
        <w:t>，增加的物价合并人员经费以及公用经费</w:t>
      </w:r>
      <w:r>
        <w:rPr>
          <w:rFonts w:hint="eastAsia" w:hAnsi="仿宋_GB2312"/>
          <w:sz w:val="32"/>
          <w:szCs w:val="32"/>
        </w:rPr>
        <w:t>；项目经费无变化。</w:t>
      </w:r>
      <w:r>
        <w:rPr>
          <w:rFonts w:hAnsi="仿宋_GB2312"/>
          <w:sz w:val="32"/>
          <w:szCs w:val="32"/>
        </w:rPr>
        <w:t>2017</w:t>
      </w:r>
      <w:r>
        <w:rPr>
          <w:rFonts w:hint="eastAsia" w:hAnsi="仿宋_GB2312"/>
          <w:sz w:val="32"/>
          <w:szCs w:val="32"/>
        </w:rPr>
        <w:t>年部门预算全部为一般公共预算，无政府性基金收支预算和国有资本经营收支预算。</w:t>
      </w:r>
    </w:p>
    <w:p>
      <w:pPr>
        <w:ind w:firstLine="560"/>
        <w:rPr>
          <w:rFonts w:hAnsi="仿宋_GB2312" w:cs="Times New Roman"/>
          <w:sz w:val="32"/>
          <w:szCs w:val="32"/>
        </w:rPr>
      </w:pPr>
      <w:r>
        <w:rPr>
          <w:rFonts w:hint="eastAsia" w:hAnsi="仿宋_GB2312"/>
          <w:sz w:val="32"/>
          <w:szCs w:val="32"/>
        </w:rPr>
        <w:t>五、机关运行经费说明</w:t>
      </w:r>
    </w:p>
    <w:p>
      <w:pPr>
        <w:ind w:left="559" w:leftChars="237"/>
        <w:rPr>
          <w:rFonts w:hAnsi="仿宋_GB2312" w:cs="Times New Roman"/>
          <w:sz w:val="32"/>
          <w:szCs w:val="32"/>
        </w:rPr>
      </w:pPr>
      <w:r>
        <w:rPr>
          <w:rFonts w:hAnsi="仿宋_GB2312"/>
          <w:sz w:val="32"/>
          <w:szCs w:val="32"/>
        </w:rPr>
        <w:t>2017</w:t>
      </w:r>
      <w:r>
        <w:rPr>
          <w:rFonts w:hint="eastAsia" w:hAnsi="仿宋_GB2312"/>
          <w:sz w:val="32"/>
          <w:szCs w:val="32"/>
        </w:rPr>
        <w:t>年我单位安排机关运行经费</w:t>
      </w:r>
      <w:r>
        <w:rPr>
          <w:rFonts w:hAnsi="仿宋_GB2312"/>
          <w:sz w:val="32"/>
          <w:szCs w:val="32"/>
        </w:rPr>
        <w:t>519.61</w:t>
      </w:r>
      <w:r>
        <w:rPr>
          <w:rFonts w:hint="eastAsia" w:hAnsi="仿宋_GB2312"/>
          <w:sz w:val="32"/>
          <w:szCs w:val="32"/>
        </w:rPr>
        <w:t>万元，其中</w:t>
      </w:r>
      <w:r>
        <w:rPr>
          <w:rFonts w:hint="eastAsia"/>
          <w:sz w:val="32"/>
          <w:szCs w:val="32"/>
          <w:shd w:val="clear" w:color="auto" w:fill="FFFFFF"/>
        </w:rPr>
        <w:t>人员经费</w:t>
      </w:r>
      <w:r>
        <w:rPr>
          <w:sz w:val="32"/>
          <w:szCs w:val="32"/>
          <w:shd w:val="clear" w:color="auto" w:fill="FFFFFF"/>
        </w:rPr>
        <w:t>492.94</w:t>
      </w:r>
      <w:r>
        <w:rPr>
          <w:rFonts w:hint="eastAsia"/>
          <w:sz w:val="32"/>
          <w:szCs w:val="32"/>
          <w:shd w:val="clear" w:color="auto" w:fill="FFFFFF"/>
        </w:rPr>
        <w:t>万元，</w:t>
      </w:r>
      <w:r>
        <w:rPr>
          <w:rFonts w:hint="eastAsia" w:hAnsi="仿宋_GB2312"/>
          <w:sz w:val="32"/>
          <w:szCs w:val="32"/>
        </w:rPr>
        <w:t>日常公用经费</w:t>
      </w:r>
      <w:r>
        <w:rPr>
          <w:rFonts w:hAnsi="仿宋_GB2312"/>
          <w:sz w:val="32"/>
          <w:szCs w:val="32"/>
        </w:rPr>
        <w:t>26.67</w:t>
      </w:r>
      <w:r>
        <w:rPr>
          <w:rFonts w:hint="eastAsia" w:hAnsi="仿宋_GB2312"/>
          <w:sz w:val="32"/>
          <w:szCs w:val="32"/>
        </w:rPr>
        <w:t>万元。六、政府采购说明</w:t>
      </w:r>
    </w:p>
    <w:p>
      <w:pPr>
        <w:ind w:firstLine="560"/>
        <w:rPr>
          <w:rFonts w:hAnsi="仿宋_GB2312" w:cs="Times New Roman"/>
          <w:sz w:val="32"/>
          <w:szCs w:val="32"/>
        </w:rPr>
      </w:pPr>
      <w:r>
        <w:rPr>
          <w:rFonts w:hAnsi="仿宋_GB2312"/>
          <w:sz w:val="32"/>
          <w:szCs w:val="32"/>
        </w:rPr>
        <w:t>2017</w:t>
      </w:r>
      <w:r>
        <w:rPr>
          <w:rFonts w:hint="eastAsia" w:hAnsi="仿宋_GB2312"/>
          <w:sz w:val="32"/>
          <w:szCs w:val="32"/>
        </w:rPr>
        <w:t>年我单位政府采购业务经费</w:t>
      </w:r>
      <w:r>
        <w:rPr>
          <w:rFonts w:hAnsi="仿宋_GB2312"/>
          <w:sz w:val="32"/>
          <w:szCs w:val="32"/>
        </w:rPr>
        <w:t>2.54</w:t>
      </w:r>
      <w:r>
        <w:rPr>
          <w:rFonts w:hint="eastAsia" w:hAnsi="仿宋_GB2312"/>
          <w:sz w:val="32"/>
          <w:szCs w:val="32"/>
        </w:rPr>
        <w:t>万元。</w:t>
      </w:r>
    </w:p>
    <w:p>
      <w:pPr>
        <w:jc w:val="center"/>
        <w:outlineLvl w:val="0"/>
        <w:rPr>
          <w:rFonts w:ascii="方正小标宋_GBK" w:eastAsia="方正小标宋_GBK" w:cs="Times New Roman"/>
          <w:sz w:val="32"/>
          <w:szCs w:val="32"/>
        </w:rPr>
      </w:pPr>
      <w:bookmarkStart w:id="1" w:name="_Toc478114312"/>
      <w:r>
        <w:rPr>
          <w:rFonts w:hint="eastAsia" w:ascii="方正小标宋_GBK" w:eastAsia="方正小标宋_GBK" w:cs="方正小标宋_GBK"/>
          <w:sz w:val="32"/>
          <w:szCs w:val="32"/>
        </w:rPr>
        <w:t>部门政府采购预算</w:t>
      </w:r>
      <w:bookmarkEnd w:id="1"/>
    </w:p>
    <w:tbl>
      <w:tblPr>
        <w:tblStyle w:val="4"/>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9"/>
        <w:gridCol w:w="1162"/>
        <w:gridCol w:w="965"/>
        <w:gridCol w:w="1054"/>
        <w:gridCol w:w="964"/>
        <w:gridCol w:w="964"/>
        <w:gridCol w:w="986"/>
        <w:gridCol w:w="964"/>
        <w:gridCol w:w="964"/>
        <w:gridCol w:w="964"/>
        <w:gridCol w:w="964"/>
        <w:gridCol w:w="964"/>
        <w:gridCol w:w="964"/>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6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rPr>
            </w:pPr>
            <w:r>
              <w:rPr>
                <w:rFonts w:ascii="方正小标宋_GBK" w:eastAsia="方正小标宋_GBK" w:cs="方正小标宋_GBK"/>
              </w:rPr>
              <w:t>303</w:t>
            </w:r>
            <w:r>
              <w:rPr>
                <w:rFonts w:hint="eastAsia" w:ascii="方正小标宋_GBK" w:eastAsia="方正小标宋_GBK" w:cs="方正小标宋_GBK"/>
              </w:rPr>
              <w:t>唐山市路南区发展改革局</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31"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96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05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96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6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8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693"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6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965" w:type="dxa"/>
            <w:vMerge w:val="continue"/>
            <w:vAlign w:val="center"/>
          </w:tcPr>
          <w:p>
            <w:pPr>
              <w:spacing w:line="300" w:lineRule="exact"/>
              <w:jc w:val="left"/>
              <w:outlineLvl w:val="0"/>
              <w:rPr>
                <w:rFonts w:cs="Times New Roman"/>
              </w:rPr>
            </w:pPr>
          </w:p>
        </w:tc>
        <w:tc>
          <w:tcPr>
            <w:tcW w:w="1054" w:type="dxa"/>
            <w:vMerge w:val="continue"/>
            <w:vAlign w:val="center"/>
          </w:tcPr>
          <w:p>
            <w:pPr>
              <w:spacing w:line="300" w:lineRule="exact"/>
              <w:jc w:val="left"/>
              <w:outlineLvl w:val="0"/>
              <w:rPr>
                <w:rFonts w:cs="Times New Roman"/>
              </w:rPr>
            </w:pPr>
          </w:p>
        </w:tc>
        <w:tc>
          <w:tcPr>
            <w:tcW w:w="964" w:type="dxa"/>
            <w:vMerge w:val="continue"/>
            <w:vAlign w:val="center"/>
          </w:tcPr>
          <w:p>
            <w:pPr>
              <w:spacing w:line="300" w:lineRule="exact"/>
              <w:jc w:val="left"/>
              <w:outlineLvl w:val="0"/>
              <w:rPr>
                <w:rFonts w:cs="Times New Roman"/>
              </w:rPr>
            </w:pPr>
          </w:p>
        </w:tc>
        <w:tc>
          <w:tcPr>
            <w:tcW w:w="964" w:type="dxa"/>
            <w:vMerge w:val="continue"/>
            <w:vAlign w:val="center"/>
          </w:tcPr>
          <w:p>
            <w:pPr>
              <w:spacing w:line="300" w:lineRule="exact"/>
              <w:jc w:val="left"/>
              <w:outlineLvl w:val="0"/>
              <w:rPr>
                <w:rFonts w:cs="Times New Roman"/>
              </w:rPr>
            </w:pPr>
          </w:p>
        </w:tc>
        <w:tc>
          <w:tcPr>
            <w:tcW w:w="986" w:type="dxa"/>
            <w:vMerge w:val="continue"/>
            <w:vAlign w:val="center"/>
          </w:tcPr>
          <w:p>
            <w:pPr>
              <w:spacing w:line="300" w:lineRule="exact"/>
              <w:jc w:val="left"/>
              <w:outlineLvl w:val="0"/>
              <w:rPr>
                <w:rFonts w:cs="Times New Roman"/>
              </w:rPr>
            </w:pPr>
          </w:p>
        </w:tc>
        <w:tc>
          <w:tcPr>
            <w:tcW w:w="96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820"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9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9" w:type="dxa"/>
            <w:vMerge w:val="continue"/>
            <w:vAlign w:val="center"/>
          </w:tcPr>
          <w:p>
            <w:pPr>
              <w:spacing w:line="300" w:lineRule="exact"/>
              <w:jc w:val="left"/>
              <w:outlineLvl w:val="0"/>
              <w:rPr>
                <w:rFonts w:cs="Times New Roman"/>
              </w:rPr>
            </w:pPr>
          </w:p>
        </w:tc>
        <w:tc>
          <w:tcPr>
            <w:tcW w:w="1162" w:type="dxa"/>
            <w:vMerge w:val="continue"/>
            <w:vAlign w:val="center"/>
          </w:tcPr>
          <w:p>
            <w:pPr>
              <w:spacing w:line="300" w:lineRule="exact"/>
              <w:jc w:val="left"/>
              <w:outlineLvl w:val="0"/>
              <w:rPr>
                <w:rFonts w:cs="Times New Roman"/>
              </w:rPr>
            </w:pPr>
          </w:p>
        </w:tc>
        <w:tc>
          <w:tcPr>
            <w:tcW w:w="965" w:type="dxa"/>
            <w:vMerge w:val="continue"/>
            <w:vAlign w:val="center"/>
          </w:tcPr>
          <w:p>
            <w:pPr>
              <w:spacing w:line="300" w:lineRule="exact"/>
              <w:jc w:val="left"/>
              <w:outlineLvl w:val="0"/>
              <w:rPr>
                <w:rFonts w:cs="Times New Roman"/>
              </w:rPr>
            </w:pPr>
          </w:p>
        </w:tc>
        <w:tc>
          <w:tcPr>
            <w:tcW w:w="1054" w:type="dxa"/>
            <w:vMerge w:val="continue"/>
            <w:vAlign w:val="center"/>
          </w:tcPr>
          <w:p>
            <w:pPr>
              <w:spacing w:line="300" w:lineRule="exact"/>
              <w:jc w:val="left"/>
              <w:outlineLvl w:val="0"/>
              <w:rPr>
                <w:rFonts w:cs="Times New Roman"/>
              </w:rPr>
            </w:pPr>
          </w:p>
        </w:tc>
        <w:tc>
          <w:tcPr>
            <w:tcW w:w="964" w:type="dxa"/>
            <w:vMerge w:val="continue"/>
            <w:vAlign w:val="center"/>
          </w:tcPr>
          <w:p>
            <w:pPr>
              <w:spacing w:line="300" w:lineRule="exact"/>
              <w:jc w:val="left"/>
              <w:outlineLvl w:val="0"/>
              <w:rPr>
                <w:rFonts w:cs="Times New Roman"/>
              </w:rPr>
            </w:pPr>
          </w:p>
        </w:tc>
        <w:tc>
          <w:tcPr>
            <w:tcW w:w="964" w:type="dxa"/>
            <w:vMerge w:val="continue"/>
            <w:vAlign w:val="center"/>
          </w:tcPr>
          <w:p>
            <w:pPr>
              <w:spacing w:line="300" w:lineRule="exact"/>
              <w:jc w:val="left"/>
              <w:outlineLvl w:val="0"/>
              <w:rPr>
                <w:rFonts w:cs="Times New Roman"/>
              </w:rPr>
            </w:pPr>
          </w:p>
        </w:tc>
        <w:tc>
          <w:tcPr>
            <w:tcW w:w="986" w:type="dxa"/>
            <w:vMerge w:val="continue"/>
            <w:vAlign w:val="center"/>
          </w:tcPr>
          <w:p>
            <w:pPr>
              <w:spacing w:line="300" w:lineRule="exact"/>
              <w:jc w:val="left"/>
              <w:outlineLvl w:val="0"/>
              <w:rPr>
                <w:rFonts w:cs="Times New Roman"/>
              </w:rPr>
            </w:pPr>
          </w:p>
        </w:tc>
        <w:tc>
          <w:tcPr>
            <w:tcW w:w="964" w:type="dxa"/>
            <w:vMerge w:val="continue"/>
            <w:vAlign w:val="center"/>
          </w:tcPr>
          <w:p>
            <w:pPr>
              <w:spacing w:line="300" w:lineRule="exact"/>
              <w:jc w:val="left"/>
              <w:outlineLvl w:val="0"/>
              <w:rPr>
                <w:rFonts w:cs="Times New Roman"/>
              </w:rPr>
            </w:pP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909"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唐山市路南区发展改革局小计</w:t>
            </w:r>
          </w:p>
        </w:tc>
        <w:tc>
          <w:tcPr>
            <w:tcW w:w="1162" w:type="dxa"/>
            <w:vAlign w:val="center"/>
          </w:tcPr>
          <w:p>
            <w:pPr>
              <w:spacing w:line="300" w:lineRule="exact"/>
              <w:jc w:val="right"/>
              <w:rPr>
                <w:rFonts w:ascii="方正书宋_GBK" w:eastAsia="方正书宋_GBK" w:cs="Times New Roman"/>
                <w:b/>
                <w:bCs/>
              </w:rPr>
            </w:pPr>
          </w:p>
        </w:tc>
        <w:tc>
          <w:tcPr>
            <w:tcW w:w="965" w:type="dxa"/>
            <w:vAlign w:val="center"/>
          </w:tcPr>
          <w:p>
            <w:pPr>
              <w:spacing w:line="300" w:lineRule="exact"/>
              <w:jc w:val="left"/>
              <w:rPr>
                <w:rFonts w:ascii="方正书宋_GBK" w:eastAsia="方正书宋_GBK" w:cs="Times New Roman"/>
                <w:b/>
                <w:bCs/>
              </w:rPr>
            </w:pPr>
          </w:p>
        </w:tc>
        <w:tc>
          <w:tcPr>
            <w:tcW w:w="1054" w:type="dxa"/>
            <w:vAlign w:val="center"/>
          </w:tcPr>
          <w:p>
            <w:pPr>
              <w:spacing w:line="300" w:lineRule="exact"/>
              <w:jc w:val="left"/>
              <w:rPr>
                <w:rFonts w:ascii="方正书宋_GBK" w:eastAsia="方正书宋_GBK" w:cs="Times New Roman"/>
                <w:b/>
                <w:bCs/>
              </w:rPr>
            </w:pPr>
          </w:p>
        </w:tc>
        <w:tc>
          <w:tcPr>
            <w:tcW w:w="964" w:type="dxa"/>
            <w:vAlign w:val="center"/>
          </w:tcPr>
          <w:p>
            <w:pPr>
              <w:spacing w:line="300" w:lineRule="exact"/>
              <w:jc w:val="left"/>
              <w:rPr>
                <w:rFonts w:ascii="方正书宋_GBK" w:eastAsia="方正书宋_GBK" w:cs="Times New Roman"/>
                <w:b/>
                <w:bCs/>
              </w:rPr>
            </w:pPr>
          </w:p>
        </w:tc>
        <w:tc>
          <w:tcPr>
            <w:tcW w:w="964" w:type="dxa"/>
            <w:vAlign w:val="center"/>
          </w:tcPr>
          <w:p>
            <w:pPr>
              <w:spacing w:line="300" w:lineRule="exact"/>
              <w:jc w:val="right"/>
              <w:rPr>
                <w:rFonts w:ascii="方正书宋_GBK" w:eastAsia="方正书宋_GBK" w:cs="Times New Roman"/>
                <w:b/>
                <w:bCs/>
              </w:rPr>
            </w:pPr>
          </w:p>
        </w:tc>
        <w:tc>
          <w:tcPr>
            <w:tcW w:w="986" w:type="dxa"/>
            <w:vAlign w:val="center"/>
          </w:tcPr>
          <w:p>
            <w:pPr>
              <w:spacing w:line="300" w:lineRule="exact"/>
              <w:jc w:val="right"/>
              <w:rPr>
                <w:rFonts w:ascii="方正书宋_GBK" w:eastAsia="方正书宋_GBK" w:cs="Times New Roman"/>
                <w:b/>
                <w:bCs/>
              </w:rPr>
            </w:pPr>
          </w:p>
        </w:tc>
        <w:tc>
          <w:tcPr>
            <w:tcW w:w="96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2.54</w:t>
            </w:r>
          </w:p>
        </w:tc>
        <w:tc>
          <w:tcPr>
            <w:tcW w:w="96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2.54</w:t>
            </w:r>
          </w:p>
        </w:tc>
        <w:tc>
          <w:tcPr>
            <w:tcW w:w="96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2.54</w:t>
            </w:r>
          </w:p>
        </w:tc>
        <w:tc>
          <w:tcPr>
            <w:tcW w:w="964"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64" w:type="dxa"/>
            <w:vAlign w:val="center"/>
          </w:tcPr>
          <w:p>
            <w:pPr>
              <w:spacing w:line="300" w:lineRule="exact"/>
              <w:jc w:val="right"/>
              <w:rPr>
                <w:rFonts w:ascii="方正书宋_GBK" w:eastAsia="方正书宋_GBK" w:cs="方正书宋_GBK"/>
                <w:b/>
                <w:bCs/>
              </w:rPr>
            </w:pPr>
          </w:p>
        </w:tc>
        <w:tc>
          <w:tcPr>
            <w:tcW w:w="909"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1162" w:type="dxa"/>
            <w:vAlign w:val="center"/>
          </w:tcPr>
          <w:p>
            <w:pPr>
              <w:spacing w:line="300" w:lineRule="exact"/>
              <w:jc w:val="right"/>
              <w:rPr>
                <w:rFonts w:ascii="方正书宋_GBK" w:eastAsia="方正书宋_GBK" w:cs="方正书宋_GBK"/>
              </w:rPr>
            </w:pPr>
            <w:r>
              <w:rPr>
                <w:rFonts w:ascii="方正书宋_GBK" w:eastAsia="方正书宋_GBK" w:cs="方正书宋_GBK"/>
              </w:rPr>
              <w:t>26.67</w:t>
            </w:r>
          </w:p>
        </w:tc>
        <w:tc>
          <w:tcPr>
            <w:tcW w:w="96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计算机设备</w:t>
            </w:r>
          </w:p>
        </w:tc>
        <w:tc>
          <w:tcPr>
            <w:tcW w:w="1054" w:type="dxa"/>
            <w:vAlign w:val="center"/>
          </w:tcPr>
          <w:p>
            <w:pPr>
              <w:spacing w:line="300" w:lineRule="exact"/>
              <w:jc w:val="left"/>
              <w:rPr>
                <w:rFonts w:ascii="方正书宋_GBK" w:eastAsia="方正书宋_GBK" w:cs="方正书宋_GBK"/>
              </w:rPr>
            </w:pPr>
            <w:r>
              <w:rPr>
                <w:rFonts w:ascii="方正书宋_GBK" w:eastAsia="方正书宋_GBK" w:cs="方正书宋_GBK"/>
              </w:rPr>
              <w:t>A020101</w:t>
            </w:r>
          </w:p>
        </w:tc>
        <w:tc>
          <w:tcPr>
            <w:tcW w:w="96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986"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09"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1162" w:type="dxa"/>
            <w:vAlign w:val="center"/>
          </w:tcPr>
          <w:p>
            <w:pPr>
              <w:spacing w:line="300" w:lineRule="exact"/>
              <w:jc w:val="right"/>
              <w:rPr>
                <w:rFonts w:ascii="方正书宋_GBK" w:eastAsia="方正书宋_GBK" w:cs="方正书宋_GBK"/>
              </w:rPr>
            </w:pPr>
            <w:r>
              <w:rPr>
                <w:rFonts w:ascii="方正书宋_GBK" w:eastAsia="方正书宋_GBK" w:cs="方正书宋_GBK"/>
              </w:rPr>
              <w:t>26.67</w:t>
            </w:r>
          </w:p>
        </w:tc>
        <w:tc>
          <w:tcPr>
            <w:tcW w:w="96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多功能一体机</w:t>
            </w:r>
          </w:p>
        </w:tc>
        <w:tc>
          <w:tcPr>
            <w:tcW w:w="1054" w:type="dxa"/>
            <w:vAlign w:val="center"/>
          </w:tcPr>
          <w:p>
            <w:pPr>
              <w:spacing w:line="300" w:lineRule="exact"/>
              <w:jc w:val="left"/>
              <w:rPr>
                <w:rFonts w:ascii="方正书宋_GBK" w:eastAsia="方正书宋_GBK" w:cs="方正书宋_GBK"/>
              </w:rPr>
            </w:pPr>
            <w:r>
              <w:rPr>
                <w:rFonts w:ascii="方正书宋_GBK" w:eastAsia="方正书宋_GBK" w:cs="方正书宋_GBK"/>
              </w:rPr>
              <w:t>A020204</w:t>
            </w:r>
          </w:p>
        </w:tc>
        <w:tc>
          <w:tcPr>
            <w:tcW w:w="96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986" w:type="dxa"/>
            <w:vAlign w:val="center"/>
          </w:tcPr>
          <w:p>
            <w:pPr>
              <w:spacing w:line="300" w:lineRule="exact"/>
              <w:jc w:val="right"/>
              <w:rPr>
                <w:rFonts w:ascii="方正书宋_GBK" w:eastAsia="方正书宋_GBK" w:cs="方正书宋_GBK"/>
              </w:rPr>
            </w:pPr>
            <w:r>
              <w:rPr>
                <w:rFonts w:ascii="方正书宋_GBK" w:eastAsia="方正书宋_GBK" w:cs="方正书宋_GBK"/>
              </w:rPr>
              <w:t>0.35</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0.70</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0.70</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0.70</w:t>
            </w: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09"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日常公用经费</w:t>
            </w:r>
          </w:p>
        </w:tc>
        <w:tc>
          <w:tcPr>
            <w:tcW w:w="1162" w:type="dxa"/>
            <w:vAlign w:val="center"/>
          </w:tcPr>
          <w:p>
            <w:pPr>
              <w:spacing w:line="300" w:lineRule="exact"/>
              <w:jc w:val="right"/>
              <w:rPr>
                <w:rFonts w:ascii="方正书宋_GBK" w:eastAsia="方正书宋_GBK" w:cs="方正书宋_GBK"/>
              </w:rPr>
            </w:pPr>
            <w:r>
              <w:rPr>
                <w:rFonts w:ascii="方正书宋_GBK" w:eastAsia="方正书宋_GBK" w:cs="方正书宋_GBK"/>
              </w:rPr>
              <w:t>26.67</w:t>
            </w:r>
          </w:p>
        </w:tc>
        <w:tc>
          <w:tcPr>
            <w:tcW w:w="965"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保险服务</w:t>
            </w:r>
          </w:p>
        </w:tc>
        <w:tc>
          <w:tcPr>
            <w:tcW w:w="1054" w:type="dxa"/>
            <w:vAlign w:val="center"/>
          </w:tcPr>
          <w:p>
            <w:pPr>
              <w:spacing w:line="300" w:lineRule="exact"/>
              <w:jc w:val="left"/>
              <w:rPr>
                <w:rFonts w:ascii="方正书宋_GBK" w:eastAsia="方正书宋_GBK" w:cs="方正书宋_GBK"/>
              </w:rPr>
            </w:pPr>
            <w:r>
              <w:rPr>
                <w:rFonts w:ascii="方正书宋_GBK" w:eastAsia="方正书宋_GBK" w:cs="方正书宋_GBK"/>
              </w:rPr>
              <w:t>C1504</w:t>
            </w:r>
          </w:p>
        </w:tc>
        <w:tc>
          <w:tcPr>
            <w:tcW w:w="96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份</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986" w:type="dxa"/>
            <w:vAlign w:val="center"/>
          </w:tcPr>
          <w:p>
            <w:pPr>
              <w:spacing w:line="300" w:lineRule="exact"/>
              <w:jc w:val="right"/>
              <w:rPr>
                <w:rFonts w:ascii="方正书宋_GBK" w:eastAsia="方正书宋_GBK" w:cs="方正书宋_GBK"/>
              </w:rPr>
            </w:pPr>
            <w:r>
              <w:rPr>
                <w:rFonts w:ascii="方正书宋_GBK" w:eastAsia="方正书宋_GBK" w:cs="方正书宋_GBK"/>
              </w:rPr>
              <w:t>0.42</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0.84</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0.84</w:t>
            </w:r>
          </w:p>
        </w:tc>
        <w:tc>
          <w:tcPr>
            <w:tcW w:w="964" w:type="dxa"/>
            <w:vAlign w:val="center"/>
          </w:tcPr>
          <w:p>
            <w:pPr>
              <w:spacing w:line="300" w:lineRule="exact"/>
              <w:jc w:val="right"/>
              <w:rPr>
                <w:rFonts w:ascii="方正书宋_GBK" w:eastAsia="方正书宋_GBK" w:cs="方正书宋_GBK"/>
              </w:rPr>
            </w:pPr>
            <w:r>
              <w:rPr>
                <w:rFonts w:ascii="方正书宋_GBK" w:eastAsia="方正书宋_GBK" w:cs="方正书宋_GBK"/>
              </w:rPr>
              <w:t>0.84</w:t>
            </w: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64" w:type="dxa"/>
            <w:vAlign w:val="center"/>
          </w:tcPr>
          <w:p>
            <w:pPr>
              <w:spacing w:line="300" w:lineRule="exact"/>
              <w:jc w:val="right"/>
              <w:rPr>
                <w:rFonts w:ascii="方正书宋_GBK" w:eastAsia="方正书宋_GBK" w:cs="方正书宋_GBK"/>
              </w:rPr>
            </w:pPr>
          </w:p>
        </w:tc>
        <w:tc>
          <w:tcPr>
            <w:tcW w:w="909" w:type="dxa"/>
            <w:vAlign w:val="center"/>
          </w:tcPr>
          <w:p>
            <w:pPr>
              <w:spacing w:line="300" w:lineRule="exact"/>
              <w:jc w:val="right"/>
              <w:rPr>
                <w:rFonts w:ascii="方正书宋_GBK" w:eastAsia="方正书宋_GBK" w:cs="方正书宋_GBK"/>
              </w:rPr>
            </w:pPr>
          </w:p>
        </w:tc>
      </w:tr>
    </w:tbl>
    <w:p>
      <w:pPr>
        <w:spacing w:line="300" w:lineRule="exact"/>
        <w:jc w:val="left"/>
        <w:outlineLvl w:val="0"/>
        <w:rPr>
          <w:rFonts w:cs="Times New Roman"/>
        </w:rPr>
        <w:sectPr>
          <w:pgSz w:w="16839" w:h="11907" w:orient="landscape"/>
          <w:pgMar w:top="1361" w:right="1020" w:bottom="1361" w:left="1020" w:header="851" w:footer="992" w:gutter="0"/>
          <w:cols w:space="720" w:num="1"/>
          <w:docGrid w:type="lines" w:linePitch="312" w:charSpace="0"/>
        </w:sectPr>
      </w:pPr>
    </w:p>
    <w:p>
      <w:pPr>
        <w:rPr>
          <w:rFonts w:hAnsi="仿宋_GB2312" w:cs="Times New Roman"/>
          <w:sz w:val="32"/>
          <w:szCs w:val="32"/>
        </w:rPr>
      </w:pPr>
      <w:r>
        <w:rPr>
          <w:rFonts w:hAnsi="仿宋_GB2312"/>
          <w:sz w:val="32"/>
          <w:szCs w:val="32"/>
        </w:rPr>
        <w:t xml:space="preserve">    </w:t>
      </w:r>
      <w:r>
        <w:rPr>
          <w:rFonts w:hint="eastAsia" w:hAnsi="仿宋_GB2312"/>
          <w:sz w:val="32"/>
          <w:szCs w:val="32"/>
        </w:rPr>
        <w:t>七、国有资产信息</w:t>
      </w:r>
    </w:p>
    <w:p>
      <w:pPr>
        <w:ind w:firstLine="560"/>
        <w:rPr>
          <w:rFonts w:hAnsi="仿宋_GB2312" w:cs="Times New Roman"/>
          <w:sz w:val="32"/>
          <w:szCs w:val="32"/>
        </w:rPr>
      </w:pPr>
      <w:r>
        <w:rPr>
          <w:rFonts w:hint="eastAsia" w:hAnsi="仿宋_GB2312"/>
          <w:sz w:val="32"/>
          <w:szCs w:val="32"/>
        </w:rPr>
        <w:t>上年末我单位国有资产总值为</w:t>
      </w:r>
      <w:r>
        <w:rPr>
          <w:rFonts w:hAnsi="仿宋_GB2312"/>
          <w:sz w:val="32"/>
          <w:szCs w:val="32"/>
        </w:rPr>
        <w:t>109</w:t>
      </w:r>
      <w:r>
        <w:rPr>
          <w:rFonts w:hint="eastAsia" w:hAnsi="仿宋_GB2312"/>
          <w:sz w:val="32"/>
          <w:szCs w:val="32"/>
        </w:rPr>
        <w:t>万元，其中发改局</w:t>
      </w:r>
      <w:r>
        <w:rPr>
          <w:rFonts w:hAnsi="仿宋_GB2312"/>
          <w:sz w:val="32"/>
          <w:szCs w:val="32"/>
        </w:rPr>
        <w:t>82.81</w:t>
      </w:r>
      <w:r>
        <w:rPr>
          <w:rFonts w:hint="eastAsia" w:hAnsi="仿宋_GB2312"/>
          <w:sz w:val="32"/>
          <w:szCs w:val="32"/>
        </w:rPr>
        <w:t>万元、原物价局</w:t>
      </w:r>
      <w:r>
        <w:rPr>
          <w:rFonts w:hAnsi="仿宋_GB2312"/>
          <w:sz w:val="32"/>
          <w:szCs w:val="32"/>
        </w:rPr>
        <w:t>26.19</w:t>
      </w:r>
      <w:r>
        <w:rPr>
          <w:rFonts w:hint="eastAsia" w:hAnsi="仿宋_GB2312"/>
          <w:sz w:val="32"/>
          <w:szCs w:val="32"/>
        </w:rPr>
        <w:t>万元，本年度拟不购置国有资产。</w:t>
      </w:r>
    </w:p>
    <w:p>
      <w:pPr>
        <w:spacing w:line="480" w:lineRule="auto"/>
        <w:rPr>
          <w:rFonts w:hAnsi="仿宋_GB2312" w:cs="Times New Roman"/>
          <w:sz w:val="32"/>
          <w:szCs w:val="32"/>
        </w:rPr>
      </w:pPr>
      <w:r>
        <w:rPr>
          <w:rFonts w:hint="eastAsia" w:hAnsi="仿宋_GB2312"/>
          <w:sz w:val="32"/>
          <w:szCs w:val="32"/>
        </w:rPr>
        <w:t>八、三公经费与上年对比说明</w:t>
      </w:r>
    </w:p>
    <w:p>
      <w:pPr>
        <w:spacing w:line="480" w:lineRule="auto"/>
        <w:ind w:firstLine="632" w:firstLineChars="200"/>
        <w:rPr>
          <w:sz w:val="32"/>
          <w:szCs w:val="32"/>
        </w:rPr>
      </w:pPr>
      <w:r>
        <w:rPr>
          <w:sz w:val="32"/>
          <w:szCs w:val="32"/>
        </w:rPr>
        <w:t>2017</w:t>
      </w:r>
      <w:r>
        <w:rPr>
          <w:rFonts w:hint="eastAsia"/>
          <w:sz w:val="32"/>
          <w:szCs w:val="32"/>
        </w:rPr>
        <w:t>年我部门“三公”经费预算安排</w:t>
      </w:r>
      <w:r>
        <w:rPr>
          <w:sz w:val="32"/>
          <w:szCs w:val="32"/>
        </w:rPr>
        <w:t>4</w:t>
      </w:r>
      <w:r>
        <w:rPr>
          <w:rFonts w:hint="eastAsia"/>
          <w:sz w:val="32"/>
          <w:szCs w:val="32"/>
        </w:rPr>
        <w:t>万元，较上年预算增加</w:t>
      </w:r>
      <w:r>
        <w:rPr>
          <w:sz w:val="32"/>
          <w:szCs w:val="32"/>
        </w:rPr>
        <w:t>0.2</w:t>
      </w:r>
      <w:r>
        <w:rPr>
          <w:rFonts w:hint="eastAsia"/>
          <w:sz w:val="32"/>
          <w:szCs w:val="32"/>
        </w:rPr>
        <w:t>万元。具体安排情况为：</w:t>
      </w:r>
      <w:r>
        <w:rPr>
          <w:sz w:val="32"/>
          <w:szCs w:val="32"/>
        </w:rPr>
        <w:t xml:space="preserve"> </w:t>
      </w:r>
    </w:p>
    <w:p>
      <w:pPr>
        <w:spacing w:line="480" w:lineRule="auto"/>
        <w:ind w:firstLine="632" w:firstLineChars="200"/>
        <w:rPr>
          <w:rFonts w:cs="Times New Roman"/>
          <w:sz w:val="32"/>
          <w:szCs w:val="32"/>
        </w:rPr>
      </w:pPr>
      <w:r>
        <w:rPr>
          <w:rFonts w:hint="eastAsia"/>
          <w:sz w:val="32"/>
          <w:szCs w:val="32"/>
        </w:rPr>
        <w:t>（一）公务用车购置及运行费。共计安排</w:t>
      </w:r>
      <w:r>
        <w:rPr>
          <w:sz w:val="32"/>
          <w:szCs w:val="32"/>
        </w:rPr>
        <w:t>3</w:t>
      </w:r>
      <w:r>
        <w:rPr>
          <w:rFonts w:hint="eastAsia"/>
          <w:sz w:val="32"/>
          <w:szCs w:val="32"/>
        </w:rPr>
        <w:t>万元，较上年预算增加</w:t>
      </w:r>
      <w:r>
        <w:rPr>
          <w:sz w:val="32"/>
          <w:szCs w:val="32"/>
        </w:rPr>
        <w:t>0.2</w:t>
      </w:r>
      <w:r>
        <w:rPr>
          <w:rFonts w:hint="eastAsia"/>
          <w:sz w:val="32"/>
          <w:szCs w:val="32"/>
        </w:rPr>
        <w:t>万元。</w:t>
      </w:r>
    </w:p>
    <w:p>
      <w:pPr>
        <w:spacing w:line="480" w:lineRule="auto"/>
        <w:ind w:firstLine="632" w:firstLineChars="200"/>
        <w:rPr>
          <w:rFonts w:cs="Times New Roman"/>
          <w:sz w:val="32"/>
          <w:szCs w:val="32"/>
        </w:rPr>
      </w:pPr>
      <w:r>
        <w:rPr>
          <w:rFonts w:hint="eastAsia"/>
          <w:sz w:val="32"/>
          <w:szCs w:val="32"/>
        </w:rPr>
        <w:t>①公务用车购置安排</w:t>
      </w:r>
      <w:r>
        <w:rPr>
          <w:sz w:val="32"/>
          <w:szCs w:val="32"/>
        </w:rPr>
        <w:t>0</w:t>
      </w:r>
      <w:r>
        <w:rPr>
          <w:rFonts w:hint="eastAsia"/>
          <w:sz w:val="32"/>
          <w:szCs w:val="32"/>
        </w:rPr>
        <w:t>万元。与上年持平。</w:t>
      </w:r>
    </w:p>
    <w:p>
      <w:pPr>
        <w:spacing w:line="480" w:lineRule="auto"/>
        <w:ind w:firstLine="632" w:firstLineChars="200"/>
        <w:rPr>
          <w:rFonts w:ascii="宋体" w:cs="Times New Roman"/>
          <w:sz w:val="32"/>
          <w:szCs w:val="32"/>
        </w:rPr>
      </w:pPr>
      <w:r>
        <w:rPr>
          <w:rFonts w:hint="eastAsia"/>
          <w:sz w:val="32"/>
          <w:szCs w:val="32"/>
        </w:rPr>
        <w:t>②公车运行维护经费安排</w:t>
      </w:r>
      <w:r>
        <w:rPr>
          <w:sz w:val="32"/>
          <w:szCs w:val="32"/>
        </w:rPr>
        <w:t>3</w:t>
      </w:r>
      <w:r>
        <w:rPr>
          <w:rFonts w:hint="eastAsia"/>
          <w:sz w:val="32"/>
          <w:szCs w:val="32"/>
        </w:rPr>
        <w:t>万元，较上年预算增加</w:t>
      </w:r>
      <w:r>
        <w:rPr>
          <w:sz w:val="32"/>
          <w:szCs w:val="32"/>
        </w:rPr>
        <w:t>0.2</w:t>
      </w:r>
      <w:r>
        <w:rPr>
          <w:rFonts w:hint="eastAsia"/>
          <w:sz w:val="32"/>
          <w:szCs w:val="32"/>
        </w:rPr>
        <w:t>万元。增加原因</w:t>
      </w:r>
      <w:r>
        <w:rPr>
          <w:rFonts w:ascii="宋体" w:cs="宋体"/>
          <w:sz w:val="32"/>
          <w:szCs w:val="32"/>
        </w:rPr>
        <w:t>2016</w:t>
      </w:r>
      <w:r>
        <w:rPr>
          <w:rFonts w:hint="eastAsia" w:ascii="宋体"/>
          <w:sz w:val="32"/>
          <w:szCs w:val="32"/>
        </w:rPr>
        <w:t>年</w:t>
      </w:r>
      <w:r>
        <w:rPr>
          <w:rFonts w:ascii="宋体" w:cs="宋体"/>
          <w:sz w:val="32"/>
          <w:szCs w:val="32"/>
        </w:rPr>
        <w:t>4</w:t>
      </w:r>
      <w:r>
        <w:rPr>
          <w:rFonts w:hint="eastAsia" w:ascii="宋体"/>
          <w:sz w:val="32"/>
          <w:szCs w:val="32"/>
        </w:rPr>
        <w:t>月份调拨执法车辆</w:t>
      </w:r>
      <w:r>
        <w:rPr>
          <w:rFonts w:ascii="宋体" w:cs="宋体"/>
          <w:sz w:val="32"/>
          <w:szCs w:val="32"/>
        </w:rPr>
        <w:t>1</w:t>
      </w:r>
      <w:r>
        <w:rPr>
          <w:rFonts w:hint="eastAsia" w:ascii="宋体"/>
          <w:sz w:val="32"/>
          <w:szCs w:val="32"/>
        </w:rPr>
        <w:t>台，费用严格执行中央八项规定。</w:t>
      </w:r>
      <w:r>
        <w:rPr>
          <w:rFonts w:ascii="宋体" w:cs="宋体"/>
          <w:sz w:val="32"/>
          <w:szCs w:val="32"/>
        </w:rPr>
        <w:t xml:space="preserve">            </w:t>
      </w:r>
    </w:p>
    <w:p>
      <w:pPr>
        <w:numPr>
          <w:ilvl w:val="0"/>
          <w:numId w:val="2"/>
        </w:numPr>
        <w:spacing w:line="480" w:lineRule="auto"/>
        <w:ind w:firstLine="632" w:firstLineChars="200"/>
        <w:rPr>
          <w:rFonts w:cs="Times New Roman"/>
          <w:sz w:val="32"/>
          <w:szCs w:val="32"/>
        </w:rPr>
      </w:pPr>
      <w:r>
        <w:rPr>
          <w:rFonts w:hint="eastAsia"/>
          <w:sz w:val="32"/>
          <w:szCs w:val="32"/>
        </w:rPr>
        <w:t>公务接待费。安排</w:t>
      </w:r>
      <w:r>
        <w:rPr>
          <w:sz w:val="32"/>
          <w:szCs w:val="32"/>
        </w:rPr>
        <w:t>1</w:t>
      </w:r>
      <w:r>
        <w:rPr>
          <w:rFonts w:hint="eastAsia"/>
          <w:sz w:val="32"/>
          <w:szCs w:val="32"/>
        </w:rPr>
        <w:t>万元，与上年持平。</w:t>
      </w:r>
    </w:p>
    <w:p>
      <w:pPr>
        <w:numPr>
          <w:ilvl w:val="0"/>
          <w:numId w:val="2"/>
        </w:numPr>
        <w:spacing w:line="480" w:lineRule="auto"/>
        <w:ind w:firstLine="632" w:firstLineChars="200"/>
        <w:rPr>
          <w:rFonts w:cs="Times New Roman"/>
          <w:sz w:val="32"/>
          <w:szCs w:val="32"/>
        </w:rPr>
      </w:pPr>
      <w:r>
        <w:rPr>
          <w:rFonts w:hint="eastAsia"/>
          <w:sz w:val="32"/>
          <w:szCs w:val="32"/>
        </w:rPr>
        <w:t>因公出国（境）费安排</w:t>
      </w:r>
      <w:r>
        <w:rPr>
          <w:sz w:val="32"/>
          <w:szCs w:val="32"/>
        </w:rPr>
        <w:t>0</w:t>
      </w:r>
      <w:r>
        <w:rPr>
          <w:rFonts w:hint="eastAsia"/>
          <w:sz w:val="32"/>
          <w:szCs w:val="32"/>
        </w:rPr>
        <w:t>万元，与上年持平。</w:t>
      </w:r>
    </w:p>
    <w:p>
      <w:pPr>
        <w:ind w:firstLine="560"/>
        <w:rPr>
          <w:rFonts w:hAnsi="仿宋_GB2312" w:cs="Times New Roman"/>
          <w:color w:val="FF0000"/>
          <w:sz w:val="32"/>
          <w:szCs w:val="32"/>
        </w:rPr>
      </w:pPr>
      <w:r>
        <w:rPr>
          <w:rFonts w:hint="eastAsia" w:hAnsi="仿宋_GB2312"/>
          <w:sz w:val="32"/>
          <w:szCs w:val="32"/>
        </w:rPr>
        <w:t>九、名词解释：</w:t>
      </w:r>
    </w:p>
    <w:p>
      <w:pPr>
        <w:ind w:firstLine="560"/>
        <w:rPr>
          <w:rFonts w:hAnsi="仿宋_GB2312" w:cs="Times New Roman"/>
          <w:sz w:val="32"/>
          <w:szCs w:val="32"/>
        </w:rPr>
      </w:pPr>
      <w:r>
        <w:rPr>
          <w:rFonts w:hAnsi="仿宋_GB2312"/>
          <w:sz w:val="32"/>
          <w:szCs w:val="32"/>
        </w:rPr>
        <w:t>1</w:t>
      </w:r>
      <w:r>
        <w:rPr>
          <w:rFonts w:hint="eastAsia" w:hAnsi="仿宋_GB2312"/>
          <w:sz w:val="32"/>
          <w:szCs w:val="32"/>
        </w:rPr>
        <w:t>、一般预算收入：区级财政当年拨付的资金。</w:t>
      </w:r>
    </w:p>
    <w:p>
      <w:pPr>
        <w:ind w:firstLine="560"/>
        <w:rPr>
          <w:rFonts w:hAnsi="仿宋_GB2312" w:cs="Times New Roman"/>
          <w:sz w:val="32"/>
          <w:szCs w:val="32"/>
        </w:rPr>
      </w:pPr>
      <w:r>
        <w:rPr>
          <w:rFonts w:hAnsi="仿宋_GB2312"/>
          <w:sz w:val="32"/>
          <w:szCs w:val="32"/>
        </w:rPr>
        <w:t>2</w:t>
      </w:r>
      <w:r>
        <w:rPr>
          <w:rFonts w:hint="eastAsia" w:hAnsi="仿宋_GB2312"/>
          <w:sz w:val="32"/>
          <w:szCs w:val="32"/>
        </w:rPr>
        <w:t>、基本支出：为保障机构正常运转，完成日常工作任务，而发生的人员支出和公用支出。</w:t>
      </w:r>
    </w:p>
    <w:p>
      <w:pPr>
        <w:ind w:firstLine="560"/>
        <w:rPr>
          <w:rFonts w:hAnsi="仿宋_GB2312" w:cs="Times New Roman"/>
          <w:sz w:val="32"/>
          <w:szCs w:val="32"/>
        </w:rPr>
      </w:pPr>
      <w:r>
        <w:rPr>
          <w:rFonts w:hAnsi="仿宋_GB2312"/>
          <w:sz w:val="32"/>
          <w:szCs w:val="32"/>
        </w:rPr>
        <w:t>3</w:t>
      </w:r>
      <w:r>
        <w:rPr>
          <w:rFonts w:hint="eastAsia" w:hAnsi="仿宋_GB2312"/>
          <w:sz w:val="32"/>
          <w:szCs w:val="32"/>
        </w:rPr>
        <w:t>、项目支出：是指在基本支出之外，为完成特定行政任务和事业发展目标，而发生的支出。</w:t>
      </w:r>
    </w:p>
    <w:p>
      <w:pPr>
        <w:ind w:firstLine="560"/>
        <w:rPr>
          <w:rFonts w:hAnsi="仿宋_GB2312" w:cs="Times New Roman"/>
          <w:sz w:val="32"/>
          <w:szCs w:val="32"/>
        </w:rPr>
      </w:pPr>
      <w:r>
        <w:rPr>
          <w:rFonts w:hAnsi="仿宋_GB2312"/>
          <w:sz w:val="32"/>
          <w:szCs w:val="32"/>
        </w:rPr>
        <w:t>4</w:t>
      </w:r>
      <w:r>
        <w:rPr>
          <w:rFonts w:hint="eastAsia" w:hAnsi="仿宋_GB2312"/>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pPr>
        <w:ind w:firstLine="560"/>
        <w:rPr>
          <w:rFonts w:hAnsi="仿宋_GB2312" w:cs="Times New Roman"/>
          <w:color w:val="FF0000"/>
          <w:sz w:val="32"/>
          <w:szCs w:val="32"/>
        </w:rPr>
      </w:pPr>
      <w:r>
        <w:rPr>
          <w:rFonts w:hint="eastAsia" w:hAnsi="仿宋_GB2312"/>
          <w:sz w:val="32"/>
          <w:szCs w:val="32"/>
        </w:rPr>
        <w:t>十、其他需要说明的事项</w:t>
      </w:r>
    </w:p>
    <w:p>
      <w:pPr>
        <w:autoSpaceDE w:val="0"/>
        <w:autoSpaceDN w:val="0"/>
        <w:adjustRightInd w:val="0"/>
        <w:ind w:left="472" w:leftChars="200" w:firstLine="632" w:firstLineChars="200"/>
        <w:jc w:val="left"/>
        <w:rPr>
          <w:rFonts w:hAnsi="仿宋_GB2312" w:cs="Times New Roman"/>
          <w:sz w:val="32"/>
          <w:szCs w:val="32"/>
        </w:rPr>
      </w:pPr>
      <w:r>
        <w:rPr>
          <w:rFonts w:hint="eastAsia" w:hAnsi="仿宋_GB2312"/>
          <w:sz w:val="32"/>
          <w:szCs w:val="32"/>
        </w:rPr>
        <w:t>无</w:t>
      </w:r>
    </w:p>
    <w:p>
      <w:pPr>
        <w:rPr>
          <w:rFonts w:hAnsi="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_GBK">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小标宋_GBK">
    <w:panose1 w:val="02000000000000000000"/>
    <w:charset w:val="86"/>
    <w:family w:val="roman"/>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4B686"/>
    <w:multiLevelType w:val="singleLevel"/>
    <w:tmpl w:val="5954B686"/>
    <w:lvl w:ilvl="0" w:tentative="0">
      <w:start w:val="2"/>
      <w:numFmt w:val="chineseCounting"/>
      <w:suff w:val="nothing"/>
      <w:lvlText w:val="（%1）"/>
      <w:lvlJc w:val="left"/>
    </w:lvl>
  </w:abstractNum>
  <w:abstractNum w:abstractNumId="1">
    <w:nsid w:val="7E8C0E72"/>
    <w:multiLevelType w:val="multilevel"/>
    <w:tmpl w:val="7E8C0E7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736"/>
    <w:rsid w:val="0001530E"/>
    <w:rsid w:val="000352C5"/>
    <w:rsid w:val="000B5CF8"/>
    <w:rsid w:val="000B6935"/>
    <w:rsid w:val="000C56AE"/>
    <w:rsid w:val="00152B8C"/>
    <w:rsid w:val="00166753"/>
    <w:rsid w:val="00175FE5"/>
    <w:rsid w:val="002166D5"/>
    <w:rsid w:val="0024290E"/>
    <w:rsid w:val="00256EF0"/>
    <w:rsid w:val="002656DE"/>
    <w:rsid w:val="002753D0"/>
    <w:rsid w:val="002E2736"/>
    <w:rsid w:val="0031252F"/>
    <w:rsid w:val="0033331F"/>
    <w:rsid w:val="00373155"/>
    <w:rsid w:val="00393A37"/>
    <w:rsid w:val="003E2C07"/>
    <w:rsid w:val="003F6637"/>
    <w:rsid w:val="004138CB"/>
    <w:rsid w:val="004A5798"/>
    <w:rsid w:val="004D7330"/>
    <w:rsid w:val="004E3647"/>
    <w:rsid w:val="00535902"/>
    <w:rsid w:val="00552A37"/>
    <w:rsid w:val="005B5A08"/>
    <w:rsid w:val="005B6335"/>
    <w:rsid w:val="005D652A"/>
    <w:rsid w:val="005F1544"/>
    <w:rsid w:val="006048E3"/>
    <w:rsid w:val="00644E01"/>
    <w:rsid w:val="00647B83"/>
    <w:rsid w:val="006A7D6F"/>
    <w:rsid w:val="006C15C6"/>
    <w:rsid w:val="00777FD9"/>
    <w:rsid w:val="007D451F"/>
    <w:rsid w:val="007E3542"/>
    <w:rsid w:val="00843987"/>
    <w:rsid w:val="0093242D"/>
    <w:rsid w:val="009A0654"/>
    <w:rsid w:val="009F55D5"/>
    <w:rsid w:val="00A466D9"/>
    <w:rsid w:val="00A650BB"/>
    <w:rsid w:val="00A6527E"/>
    <w:rsid w:val="00A942E2"/>
    <w:rsid w:val="00AA3094"/>
    <w:rsid w:val="00AF5646"/>
    <w:rsid w:val="00B26D61"/>
    <w:rsid w:val="00B61472"/>
    <w:rsid w:val="00B74BCC"/>
    <w:rsid w:val="00B8037F"/>
    <w:rsid w:val="00BB207C"/>
    <w:rsid w:val="00C22255"/>
    <w:rsid w:val="00C2338F"/>
    <w:rsid w:val="00C33C1F"/>
    <w:rsid w:val="00C46B40"/>
    <w:rsid w:val="00C54FA1"/>
    <w:rsid w:val="00C95A05"/>
    <w:rsid w:val="00CB1C47"/>
    <w:rsid w:val="00D07EE9"/>
    <w:rsid w:val="00D5735D"/>
    <w:rsid w:val="00D65841"/>
    <w:rsid w:val="00DC45B3"/>
    <w:rsid w:val="00E9144E"/>
    <w:rsid w:val="00EA0E2D"/>
    <w:rsid w:val="00EE5605"/>
    <w:rsid w:val="00F3159C"/>
    <w:rsid w:val="00F810D2"/>
    <w:rsid w:val="00FD1E11"/>
    <w:rsid w:val="00FF60FC"/>
    <w:rsid w:val="00FF7226"/>
    <w:rsid w:val="02892141"/>
    <w:rsid w:val="2A4B524C"/>
    <w:rsid w:val="357475E3"/>
    <w:rsid w:val="3AAB0059"/>
    <w:rsid w:val="3D16138F"/>
    <w:rsid w:val="46841C52"/>
    <w:rsid w:val="49183599"/>
    <w:rsid w:val="509E7F1D"/>
    <w:rsid w:val="56291B9F"/>
    <w:rsid w:val="581A6001"/>
    <w:rsid w:val="5D4F2630"/>
    <w:rsid w:val="5E312663"/>
    <w:rsid w:val="5F34318A"/>
    <w:rsid w:val="63BE1EBC"/>
    <w:rsid w:val="6A721868"/>
    <w:rsid w:val="704B243C"/>
    <w:rsid w:val="7B2F1102"/>
    <w:rsid w:val="FEFFEE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color w:val="000000"/>
      <w:spacing w:val="-2"/>
      <w:kern w:val="24"/>
      <w:position w:val="-2"/>
      <w:sz w:val="24"/>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ascii="仿宋_GB2312" w:hAnsi="宋体" w:eastAsia="仿宋_GB2312" w:cs="仿宋_GB2312"/>
      <w:color w:val="000000"/>
      <w:spacing w:val="-2"/>
      <w:kern w:val="24"/>
      <w:position w:val="-2"/>
      <w:sz w:val="18"/>
      <w:szCs w:val="18"/>
    </w:rPr>
  </w:style>
  <w:style w:type="character" w:customStyle="1" w:styleId="7">
    <w:name w:val="Header Char"/>
    <w:basedOn w:val="5"/>
    <w:link w:val="3"/>
    <w:semiHidden/>
    <w:locked/>
    <w:uiPriority w:val="99"/>
    <w:rPr>
      <w:rFonts w:ascii="仿宋_GB2312" w:hAnsi="宋体" w:eastAsia="仿宋_GB2312" w:cs="仿宋_GB2312"/>
      <w:color w:val="000000"/>
      <w:spacing w:val="-2"/>
      <w:kern w:val="24"/>
      <w:position w:val="-2"/>
      <w:sz w:val="18"/>
      <w:szCs w:val="18"/>
    </w:rPr>
  </w:style>
  <w:style w:type="paragraph" w:customStyle="1" w:styleId="8">
    <w:name w:val="List Paragraph1"/>
    <w:basedOn w:val="1"/>
    <w:uiPriority w:val="99"/>
    <w:pPr>
      <w:ind w:firstLine="420" w:firstLineChars="200"/>
    </w:pPr>
    <w:rPr>
      <w:rFonts w:ascii="Calibri" w:hAnsi="Calibri" w:eastAsia="宋体" w:cs="Calibri"/>
      <w:color w:val="auto"/>
      <w:spacing w:val="0"/>
      <w:kern w:val="2"/>
      <w:positio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20</Pages>
  <Words>1387</Words>
  <Characters>7911</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2017-06-06T11:56:00Z</dcterms:created>
  <dc:creator>Administrator</dc:creator>
  <cp:lastModifiedBy>lnqzf040</cp:lastModifiedBy>
  <dcterms:modified xsi:type="dcterms:W3CDTF">2024-06-25T15:43:01Z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DE42A3B75173D5A505757A6626EBBE78</vt:lpwstr>
  </property>
</Properties>
</file>