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唐山市路南区文化体育和旅游局</w:t>
      </w: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bookmarkStart w:id="18" w:name="_GoBack"/>
      <w:bookmarkEnd w:id="18"/>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7</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1156.39</w:t>
            </w:r>
          </w:p>
        </w:tc>
        <w:tc>
          <w:tcPr>
            <w:tcW w:w="4535" w:type="dxa"/>
            <w:vAlign w:val="center"/>
          </w:tcPr>
          <w:p>
            <w:pPr>
              <w:pStyle w:val="14"/>
            </w:pPr>
            <w:r>
              <w:t>一、一般公共服务支出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1136.39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1156.39</w:t>
            </w:r>
          </w:p>
        </w:tc>
        <w:tc>
          <w:tcPr>
            <w:tcW w:w="4535" w:type="dxa"/>
            <w:vAlign w:val="center"/>
          </w:tcPr>
          <w:p>
            <w:pPr>
              <w:pStyle w:val="16"/>
            </w:pPr>
            <w:r>
              <w:t>本年支出合计</w:t>
            </w:r>
          </w:p>
        </w:tc>
        <w:tc>
          <w:tcPr>
            <w:tcW w:w="2126" w:type="dxa"/>
            <w:vAlign w:val="center"/>
          </w:tcPr>
          <w:p>
            <w:pPr>
              <w:pStyle w:val="17"/>
            </w:pPr>
            <w:r>
              <w:t>1156.39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1156.39</w:t>
            </w:r>
          </w:p>
        </w:tc>
        <w:tc>
          <w:tcPr>
            <w:tcW w:w="4535" w:type="dxa"/>
            <w:vAlign w:val="center"/>
          </w:tcPr>
          <w:p>
            <w:pPr>
              <w:pStyle w:val="16"/>
            </w:pPr>
            <w:r>
              <w:t>支出总计</w:t>
            </w:r>
          </w:p>
        </w:tc>
        <w:tc>
          <w:tcPr>
            <w:tcW w:w="2126" w:type="dxa"/>
            <w:vAlign w:val="center"/>
          </w:tcPr>
          <w:p>
            <w:pPr>
              <w:pStyle w:val="17"/>
            </w:pPr>
            <w:r>
              <w:t>1156.39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1156.39</w:t>
            </w:r>
          </w:p>
        </w:tc>
        <w:tc>
          <w:tcPr>
            <w:tcW w:w="1134" w:type="dxa"/>
            <w:vAlign w:val="center"/>
          </w:tcPr>
          <w:p>
            <w:pPr>
              <w:pStyle w:val="17"/>
            </w:pPr>
            <w:r>
              <w:t>1156.39</w:t>
            </w:r>
          </w:p>
        </w:tc>
        <w:tc>
          <w:tcPr>
            <w:tcW w:w="1134" w:type="dxa"/>
            <w:vAlign w:val="center"/>
          </w:tcPr>
          <w:p>
            <w:pPr>
              <w:pStyle w:val="17"/>
            </w:pPr>
            <w:r>
              <w:t>1156.39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1136.39</w:t>
            </w:r>
          </w:p>
        </w:tc>
        <w:tc>
          <w:tcPr>
            <w:tcW w:w="1134" w:type="dxa"/>
            <w:vAlign w:val="center"/>
          </w:tcPr>
          <w:p>
            <w:pPr>
              <w:pStyle w:val="13"/>
            </w:pPr>
            <w:r>
              <w:t>1136.39</w:t>
            </w:r>
          </w:p>
        </w:tc>
        <w:tc>
          <w:tcPr>
            <w:tcW w:w="1134" w:type="dxa"/>
            <w:vAlign w:val="center"/>
          </w:tcPr>
          <w:p>
            <w:pPr>
              <w:pStyle w:val="13"/>
            </w:pPr>
            <w:r>
              <w:t>1136.39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909.18</w:t>
            </w:r>
          </w:p>
        </w:tc>
        <w:tc>
          <w:tcPr>
            <w:tcW w:w="1134" w:type="dxa"/>
            <w:vAlign w:val="center"/>
          </w:tcPr>
          <w:p>
            <w:pPr>
              <w:pStyle w:val="13"/>
            </w:pPr>
            <w:r>
              <w:t>909.18</w:t>
            </w:r>
          </w:p>
        </w:tc>
        <w:tc>
          <w:tcPr>
            <w:tcW w:w="1134" w:type="dxa"/>
            <w:vAlign w:val="center"/>
          </w:tcPr>
          <w:p>
            <w:pPr>
              <w:pStyle w:val="13"/>
            </w:pPr>
            <w:r>
              <w:t>909.18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891.18</w:t>
            </w:r>
          </w:p>
        </w:tc>
        <w:tc>
          <w:tcPr>
            <w:tcW w:w="1134" w:type="dxa"/>
            <w:vAlign w:val="center"/>
          </w:tcPr>
          <w:p>
            <w:pPr>
              <w:pStyle w:val="13"/>
            </w:pPr>
            <w:r>
              <w:t>891.18</w:t>
            </w:r>
          </w:p>
        </w:tc>
        <w:tc>
          <w:tcPr>
            <w:tcW w:w="1134" w:type="dxa"/>
            <w:vAlign w:val="center"/>
          </w:tcPr>
          <w:p>
            <w:pPr>
              <w:pStyle w:val="13"/>
            </w:pPr>
            <w:r>
              <w:t>891.18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2070104</w:t>
            </w:r>
          </w:p>
        </w:tc>
        <w:tc>
          <w:tcPr>
            <w:tcW w:w="1559" w:type="dxa"/>
            <w:vAlign w:val="center"/>
          </w:tcPr>
          <w:p>
            <w:pPr>
              <w:pStyle w:val="14"/>
            </w:pPr>
            <w:r>
              <w:t>图书馆</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2070109</w:t>
            </w:r>
          </w:p>
        </w:tc>
        <w:tc>
          <w:tcPr>
            <w:tcW w:w="1559" w:type="dxa"/>
            <w:vAlign w:val="center"/>
          </w:tcPr>
          <w:p>
            <w:pPr>
              <w:pStyle w:val="14"/>
            </w:pPr>
            <w:r>
              <w:t>群众文化</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1156.39</w:t>
            </w:r>
          </w:p>
        </w:tc>
        <w:tc>
          <w:tcPr>
            <w:tcW w:w="1361" w:type="dxa"/>
            <w:vAlign w:val="center"/>
          </w:tcPr>
          <w:p>
            <w:pPr>
              <w:pStyle w:val="17"/>
            </w:pPr>
            <w:r>
              <w:t>891.18</w:t>
            </w:r>
          </w:p>
        </w:tc>
        <w:tc>
          <w:tcPr>
            <w:tcW w:w="1361" w:type="dxa"/>
            <w:vAlign w:val="center"/>
          </w:tcPr>
          <w:p>
            <w:pPr>
              <w:pStyle w:val="17"/>
            </w:pPr>
            <w:r>
              <w:t>265.21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1136.39</w:t>
            </w:r>
          </w:p>
        </w:tc>
        <w:tc>
          <w:tcPr>
            <w:tcW w:w="1361" w:type="dxa"/>
            <w:vAlign w:val="center"/>
          </w:tcPr>
          <w:p>
            <w:pPr>
              <w:pStyle w:val="13"/>
            </w:pPr>
            <w:r>
              <w:t>891.18</w:t>
            </w:r>
          </w:p>
        </w:tc>
        <w:tc>
          <w:tcPr>
            <w:tcW w:w="1361" w:type="dxa"/>
            <w:vAlign w:val="center"/>
          </w:tcPr>
          <w:p>
            <w:pPr>
              <w:pStyle w:val="13"/>
            </w:pPr>
            <w:r>
              <w:t>245.21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909.18</w:t>
            </w:r>
          </w:p>
        </w:tc>
        <w:tc>
          <w:tcPr>
            <w:tcW w:w="1361" w:type="dxa"/>
            <w:vAlign w:val="center"/>
          </w:tcPr>
          <w:p>
            <w:pPr>
              <w:pStyle w:val="13"/>
            </w:pPr>
            <w:r>
              <w:t>891.18</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891.18</w:t>
            </w:r>
          </w:p>
        </w:tc>
        <w:tc>
          <w:tcPr>
            <w:tcW w:w="1361" w:type="dxa"/>
            <w:vAlign w:val="center"/>
          </w:tcPr>
          <w:p>
            <w:pPr>
              <w:pStyle w:val="13"/>
            </w:pPr>
            <w:r>
              <w:t>891.18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2070104</w:t>
            </w:r>
          </w:p>
        </w:tc>
        <w:tc>
          <w:tcPr>
            <w:tcW w:w="4535" w:type="dxa"/>
            <w:vAlign w:val="center"/>
          </w:tcPr>
          <w:p>
            <w:pPr>
              <w:pStyle w:val="14"/>
            </w:pPr>
            <w:r>
              <w:t>图书馆</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1156.39</w:t>
            </w:r>
          </w:p>
        </w:tc>
        <w:tc>
          <w:tcPr>
            <w:tcW w:w="3402" w:type="dxa"/>
            <w:vAlign w:val="center"/>
          </w:tcPr>
          <w:p>
            <w:pPr>
              <w:pStyle w:val="14"/>
            </w:pPr>
            <w:r>
              <w:t>一、一般公共服务支出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1136.39</w:t>
            </w:r>
          </w:p>
        </w:tc>
        <w:tc>
          <w:tcPr>
            <w:tcW w:w="1474" w:type="dxa"/>
            <w:vAlign w:val="center"/>
          </w:tcPr>
          <w:p>
            <w:pPr>
              <w:pStyle w:val="13"/>
            </w:pPr>
            <w:r>
              <w:t>1136.39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1156.39</w:t>
            </w:r>
          </w:p>
        </w:tc>
        <w:tc>
          <w:tcPr>
            <w:tcW w:w="3402" w:type="dxa"/>
            <w:vAlign w:val="center"/>
          </w:tcPr>
          <w:p>
            <w:pPr>
              <w:pStyle w:val="16"/>
            </w:pPr>
            <w:r>
              <w:t>本年支出合计</w:t>
            </w:r>
          </w:p>
        </w:tc>
        <w:tc>
          <w:tcPr>
            <w:tcW w:w="1474" w:type="dxa"/>
            <w:vAlign w:val="center"/>
          </w:tcPr>
          <w:p>
            <w:pPr>
              <w:pStyle w:val="17"/>
            </w:pPr>
            <w:r>
              <w:t>1156.39</w:t>
            </w:r>
          </w:p>
        </w:tc>
        <w:tc>
          <w:tcPr>
            <w:tcW w:w="1474" w:type="dxa"/>
            <w:vAlign w:val="center"/>
          </w:tcPr>
          <w:p>
            <w:pPr>
              <w:pStyle w:val="17"/>
            </w:pPr>
            <w:r>
              <w:t>1156.39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1156.39</w:t>
            </w:r>
          </w:p>
        </w:tc>
        <w:tc>
          <w:tcPr>
            <w:tcW w:w="3402" w:type="dxa"/>
            <w:vAlign w:val="center"/>
          </w:tcPr>
          <w:p>
            <w:pPr>
              <w:pStyle w:val="16"/>
            </w:pPr>
            <w:r>
              <w:t>支出总计</w:t>
            </w:r>
          </w:p>
        </w:tc>
        <w:tc>
          <w:tcPr>
            <w:tcW w:w="1474" w:type="dxa"/>
            <w:vAlign w:val="center"/>
          </w:tcPr>
          <w:p>
            <w:pPr>
              <w:pStyle w:val="17"/>
            </w:pPr>
            <w:r>
              <w:t>1156.39</w:t>
            </w:r>
          </w:p>
        </w:tc>
        <w:tc>
          <w:tcPr>
            <w:tcW w:w="1474" w:type="dxa"/>
            <w:vAlign w:val="center"/>
          </w:tcPr>
          <w:p>
            <w:pPr>
              <w:pStyle w:val="17"/>
            </w:pPr>
            <w:r>
              <w:t>1156.39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1156.39</w:t>
            </w:r>
          </w:p>
        </w:tc>
        <w:tc>
          <w:tcPr>
            <w:tcW w:w="2551" w:type="dxa"/>
            <w:vAlign w:val="center"/>
          </w:tcPr>
          <w:p>
            <w:pPr>
              <w:pStyle w:val="17"/>
            </w:pPr>
            <w:r>
              <w:t>891.18</w:t>
            </w:r>
          </w:p>
        </w:tc>
        <w:tc>
          <w:tcPr>
            <w:tcW w:w="2551" w:type="dxa"/>
            <w:vAlign w:val="center"/>
          </w:tcPr>
          <w:p>
            <w:pPr>
              <w:pStyle w:val="17"/>
            </w:pPr>
            <w:r>
              <w:t>265.21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1136.39</w:t>
            </w:r>
          </w:p>
        </w:tc>
        <w:tc>
          <w:tcPr>
            <w:tcW w:w="2551" w:type="dxa"/>
            <w:vAlign w:val="center"/>
          </w:tcPr>
          <w:p>
            <w:pPr>
              <w:pStyle w:val="13"/>
            </w:pPr>
            <w:r>
              <w:t>891.18</w:t>
            </w:r>
          </w:p>
        </w:tc>
        <w:tc>
          <w:tcPr>
            <w:tcW w:w="2551" w:type="dxa"/>
            <w:vAlign w:val="center"/>
          </w:tcPr>
          <w:p>
            <w:pPr>
              <w:pStyle w:val="13"/>
            </w:pPr>
            <w:r>
              <w:t>245.21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909.18</w:t>
            </w:r>
          </w:p>
        </w:tc>
        <w:tc>
          <w:tcPr>
            <w:tcW w:w="2551" w:type="dxa"/>
            <w:vAlign w:val="center"/>
          </w:tcPr>
          <w:p>
            <w:pPr>
              <w:pStyle w:val="13"/>
            </w:pPr>
            <w:r>
              <w:t>891.18</w:t>
            </w: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891.18</w:t>
            </w:r>
          </w:p>
        </w:tc>
        <w:tc>
          <w:tcPr>
            <w:tcW w:w="2551" w:type="dxa"/>
            <w:vAlign w:val="center"/>
          </w:tcPr>
          <w:p>
            <w:pPr>
              <w:pStyle w:val="13"/>
            </w:pPr>
            <w:r>
              <w:t>891.18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2070104</w:t>
            </w:r>
          </w:p>
        </w:tc>
        <w:tc>
          <w:tcPr>
            <w:tcW w:w="4535" w:type="dxa"/>
            <w:vAlign w:val="center"/>
          </w:tcPr>
          <w:p>
            <w:pPr>
              <w:pStyle w:val="14"/>
            </w:pPr>
            <w:r>
              <w:t>图书馆</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227.21</w:t>
            </w:r>
          </w:p>
        </w:tc>
        <w:tc>
          <w:tcPr>
            <w:tcW w:w="2551" w:type="dxa"/>
            <w:vAlign w:val="center"/>
          </w:tcPr>
          <w:p>
            <w:pPr>
              <w:pStyle w:val="13"/>
            </w:pPr>
          </w:p>
        </w:tc>
        <w:tc>
          <w:tcPr>
            <w:tcW w:w="2551" w:type="dxa"/>
            <w:vAlign w:val="center"/>
          </w:tcPr>
          <w:p>
            <w:pPr>
              <w:pStyle w:val="13"/>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227.21</w:t>
            </w:r>
          </w:p>
        </w:tc>
        <w:tc>
          <w:tcPr>
            <w:tcW w:w="2551" w:type="dxa"/>
            <w:vAlign w:val="center"/>
          </w:tcPr>
          <w:p>
            <w:pPr>
              <w:pStyle w:val="13"/>
            </w:pPr>
          </w:p>
        </w:tc>
        <w:tc>
          <w:tcPr>
            <w:tcW w:w="2551" w:type="dxa"/>
            <w:vAlign w:val="center"/>
          </w:tcPr>
          <w:p>
            <w:pPr>
              <w:pStyle w:val="13"/>
            </w:pPr>
            <w:r>
              <w:t>227.21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891.18</w:t>
            </w:r>
          </w:p>
        </w:tc>
        <w:tc>
          <w:tcPr>
            <w:tcW w:w="2551" w:type="dxa"/>
            <w:vAlign w:val="center"/>
          </w:tcPr>
          <w:p>
            <w:pPr>
              <w:pStyle w:val="17"/>
            </w:pPr>
            <w:r>
              <w:t>796.74</w:t>
            </w:r>
          </w:p>
        </w:tc>
        <w:tc>
          <w:tcPr>
            <w:tcW w:w="2551" w:type="dxa"/>
            <w:vAlign w:val="center"/>
          </w:tcPr>
          <w:p>
            <w:pPr>
              <w:pStyle w:val="17"/>
            </w:pPr>
            <w:r>
              <w:t>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718.48</w:t>
            </w:r>
          </w:p>
        </w:tc>
        <w:tc>
          <w:tcPr>
            <w:tcW w:w="2551" w:type="dxa"/>
            <w:vAlign w:val="center"/>
          </w:tcPr>
          <w:p>
            <w:pPr>
              <w:pStyle w:val="13"/>
            </w:pPr>
            <w:r>
              <w:t>718.48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170.23</w:t>
            </w:r>
          </w:p>
        </w:tc>
        <w:tc>
          <w:tcPr>
            <w:tcW w:w="2551" w:type="dxa"/>
            <w:vAlign w:val="center"/>
          </w:tcPr>
          <w:p>
            <w:pPr>
              <w:pStyle w:val="13"/>
            </w:pPr>
            <w:r>
              <w:t>170.23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118.53</w:t>
            </w:r>
          </w:p>
        </w:tc>
        <w:tc>
          <w:tcPr>
            <w:tcW w:w="2551" w:type="dxa"/>
            <w:vAlign w:val="center"/>
          </w:tcPr>
          <w:p>
            <w:pPr>
              <w:pStyle w:val="13"/>
            </w:pPr>
            <w:r>
              <w:t>118.53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74.35</w:t>
            </w:r>
          </w:p>
        </w:tc>
        <w:tc>
          <w:tcPr>
            <w:tcW w:w="2551" w:type="dxa"/>
            <w:vAlign w:val="center"/>
          </w:tcPr>
          <w:p>
            <w:pPr>
              <w:pStyle w:val="13"/>
            </w:pPr>
            <w:r>
              <w:t>74.35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125.34</w:t>
            </w:r>
          </w:p>
        </w:tc>
        <w:tc>
          <w:tcPr>
            <w:tcW w:w="2551" w:type="dxa"/>
            <w:vAlign w:val="center"/>
          </w:tcPr>
          <w:p>
            <w:pPr>
              <w:pStyle w:val="13"/>
            </w:pPr>
            <w:r>
              <w:t>125.34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66.00</w:t>
            </w:r>
          </w:p>
        </w:tc>
        <w:tc>
          <w:tcPr>
            <w:tcW w:w="2551" w:type="dxa"/>
            <w:vAlign w:val="center"/>
          </w:tcPr>
          <w:p>
            <w:pPr>
              <w:pStyle w:val="13"/>
            </w:pPr>
            <w:r>
              <w:t>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60.89</w:t>
            </w:r>
          </w:p>
        </w:tc>
        <w:tc>
          <w:tcPr>
            <w:tcW w:w="2551" w:type="dxa"/>
            <w:vAlign w:val="center"/>
          </w:tcPr>
          <w:p>
            <w:pPr>
              <w:pStyle w:val="13"/>
            </w:pPr>
            <w:r>
              <w:t>60.89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43.62</w:t>
            </w:r>
          </w:p>
        </w:tc>
        <w:tc>
          <w:tcPr>
            <w:tcW w:w="2551" w:type="dxa"/>
            <w:vAlign w:val="center"/>
          </w:tcPr>
          <w:p>
            <w:pPr>
              <w:pStyle w:val="13"/>
            </w:pPr>
            <w:r>
              <w:t>43.62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53.90</w:t>
            </w:r>
          </w:p>
        </w:tc>
        <w:tc>
          <w:tcPr>
            <w:tcW w:w="2551" w:type="dxa"/>
            <w:vAlign w:val="center"/>
          </w:tcPr>
          <w:p>
            <w:pPr>
              <w:pStyle w:val="13"/>
            </w:pPr>
            <w:r>
              <w:t>53.90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94.44</w:t>
            </w:r>
          </w:p>
        </w:tc>
        <w:tc>
          <w:tcPr>
            <w:tcW w:w="2551" w:type="dxa"/>
            <w:vAlign w:val="center"/>
          </w:tcPr>
          <w:p>
            <w:pPr>
              <w:pStyle w:val="13"/>
            </w:pPr>
          </w:p>
        </w:tc>
        <w:tc>
          <w:tcPr>
            <w:tcW w:w="2551" w:type="dxa"/>
            <w:vAlign w:val="center"/>
          </w:tcPr>
          <w:p>
            <w:pPr>
              <w:pStyle w:val="13"/>
            </w:pPr>
            <w:r>
              <w:t>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12.30</w:t>
            </w:r>
          </w:p>
        </w:tc>
        <w:tc>
          <w:tcPr>
            <w:tcW w:w="2551" w:type="dxa"/>
            <w:vAlign w:val="center"/>
          </w:tcPr>
          <w:p>
            <w:pPr>
              <w:pStyle w:val="13"/>
            </w:pPr>
          </w:p>
        </w:tc>
        <w:tc>
          <w:tcPr>
            <w:tcW w:w="2551" w:type="dxa"/>
            <w:vAlign w:val="center"/>
          </w:tcPr>
          <w:p>
            <w:pPr>
              <w:pStyle w:val="13"/>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12.80</w:t>
            </w:r>
          </w:p>
        </w:tc>
        <w:tc>
          <w:tcPr>
            <w:tcW w:w="2551" w:type="dxa"/>
            <w:vAlign w:val="center"/>
          </w:tcPr>
          <w:p>
            <w:pPr>
              <w:pStyle w:val="13"/>
            </w:pP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15.58</w:t>
            </w:r>
          </w:p>
        </w:tc>
        <w:tc>
          <w:tcPr>
            <w:tcW w:w="2551" w:type="dxa"/>
            <w:vAlign w:val="center"/>
          </w:tcPr>
          <w:p>
            <w:pPr>
              <w:pStyle w:val="13"/>
            </w:pPr>
          </w:p>
        </w:tc>
        <w:tc>
          <w:tcPr>
            <w:tcW w:w="2551" w:type="dxa"/>
            <w:vAlign w:val="center"/>
          </w:tcPr>
          <w:p>
            <w:pPr>
              <w:pStyle w:val="13"/>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41.80</w:t>
            </w:r>
          </w:p>
        </w:tc>
        <w:tc>
          <w:tcPr>
            <w:tcW w:w="2551" w:type="dxa"/>
            <w:vAlign w:val="center"/>
          </w:tcPr>
          <w:p>
            <w:pPr>
              <w:pStyle w:val="13"/>
            </w:pPr>
          </w:p>
        </w:tc>
        <w:tc>
          <w:tcPr>
            <w:tcW w:w="2551" w:type="dxa"/>
            <w:vAlign w:val="center"/>
          </w:tcPr>
          <w:p>
            <w:pPr>
              <w:pStyle w:val="13"/>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78.26</w:t>
            </w:r>
          </w:p>
        </w:tc>
        <w:tc>
          <w:tcPr>
            <w:tcW w:w="2551" w:type="dxa"/>
            <w:vAlign w:val="center"/>
          </w:tcPr>
          <w:p>
            <w:pPr>
              <w:pStyle w:val="13"/>
            </w:pPr>
            <w:r>
              <w:t>78.26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77.99</w:t>
            </w:r>
          </w:p>
        </w:tc>
        <w:tc>
          <w:tcPr>
            <w:tcW w:w="2551" w:type="dxa"/>
            <w:vAlign w:val="center"/>
          </w:tcPr>
          <w:p>
            <w:pPr>
              <w:pStyle w:val="13"/>
            </w:pPr>
            <w:r>
              <w:t>77.99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t>4.</w:t>
            </w:r>
            <w:r>
              <w:rPr>
                <w:rFonts w:hint="eastAsia"/>
                <w:lang w:val="en-US" w:eastAsia="zh-CN"/>
              </w:rPr>
              <w:t>50</w:t>
            </w:r>
          </w:p>
        </w:tc>
        <w:tc>
          <w:tcPr>
            <w:tcW w:w="1643" w:type="dxa"/>
            <w:vAlign w:val="center"/>
          </w:tcPr>
          <w:p>
            <w:pPr>
              <w:pStyle w:val="17"/>
              <w:rPr>
                <w:rFonts w:hint="default" w:eastAsia="方正书宋_GBK"/>
                <w:lang w:val="en-US" w:eastAsia="zh-CN"/>
              </w:rPr>
            </w:pPr>
            <w:r>
              <w:t>4.</w:t>
            </w:r>
            <w:r>
              <w:rPr>
                <w:rFonts w:hint="eastAsia"/>
                <w:lang w:val="en-US" w:eastAsia="zh-CN"/>
              </w:rPr>
              <w:t>50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唐山市路南区文化体育和旅游局2023年部门预算信息公开情况说明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预算法》、《地方预决算公开操作规程》和《关于进一步推进预算公开工作的实施意见》规定，现将唐山市路南区文化体育和旅游局2023年部门预算公开如下：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1.贯彻执行党和国家文化、体育、文物和旅游工作方针政策和法律法规。研究拟定全区文化、体育、文物和旅游政策措施、发展规划并组织实施，推进文化和旅游融合发展。</w:t>
      </w:r>
    </w:p>
    <w:p>
      <w:pPr>
        <w:pStyle w:val="19"/>
      </w:pPr>
      <w:r>
        <w:t>2.管理全区性重大文化体育旅游活动。指导和监管全区重点文化体育旅游基础设施建设。</w:t>
      </w:r>
    </w:p>
    <w:p>
      <w:pPr>
        <w:pStyle w:val="19"/>
      </w:pPr>
      <w:r>
        <w:t>3.指导、管理全区文艺事业。指导艺术创作生产，扶持体现社会主义核心价值观、具有导向性代表性示范性的文艺作品，推动全区各门类艺术、各艺术品种发展。</w:t>
      </w:r>
    </w:p>
    <w:p>
      <w:pPr>
        <w:pStyle w:val="19"/>
      </w:pPr>
      <w:r>
        <w:t>4.负责全区公共文化事业发展。推进全区文化、体育、文物和旅游公共服务体系建设，深入实施文化惠民工程，统筹推进全区基本公共文化服务标准化、均等化。</w:t>
      </w:r>
    </w:p>
    <w:p>
      <w:pPr>
        <w:pStyle w:val="19"/>
      </w:pPr>
      <w:r>
        <w:t>5.负责全区非物质文化遗产保护，推动非物质文化遗产的保护传承、普及、弘扬和振兴。</w:t>
      </w:r>
    </w:p>
    <w:p>
      <w:pPr>
        <w:pStyle w:val="19"/>
      </w:pPr>
      <w:r>
        <w:t>6.统筹规划全区文化、体育和旅游产业。组织实施文化、体育和旅游资源普查、挖掘、保护和利用工作，促进文化产业、体育产业和旅游产业发展。</w:t>
      </w:r>
    </w:p>
    <w:p>
      <w:pPr>
        <w:pStyle w:val="19"/>
      </w:pPr>
      <w:r>
        <w:t>7.对文化、体育、文物和旅游市场进行行业监管。</w:t>
      </w:r>
    </w:p>
    <w:p>
      <w:pPr>
        <w:pStyle w:val="19"/>
      </w:pPr>
      <w:r>
        <w:t>8.负责组织、指导全区文物保护管理工作；指导全区考古、文物修缮工作；组织、协调重大文物保护和考古项目的实施；指导全区文物和博物馆的业务工作；推进全区文物和博物馆的业务工作；推进全区文物事业发展。</w:t>
      </w:r>
    </w:p>
    <w:p>
      <w:pPr>
        <w:pStyle w:val="19"/>
      </w:pPr>
      <w:r>
        <w:t>9.指导、管理全区文化、体育、文物和旅游对外及对港澳交流、合作和宣传、推广工作。组织大型文化、体育、文物和旅游对外及港澳台交流活动。</w:t>
      </w:r>
    </w:p>
    <w:p>
      <w:pPr>
        <w:pStyle w:val="19"/>
      </w:pPr>
      <w:r>
        <w:t xml:space="preserve">10.完成区委、区政府交办的其他任务。                </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唐山市路南区文化体育和旅游局本级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唐山市路南区旅游业发展管理中心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按照预算管理有关规定，目前部门预算的编制实行综合预算管理，即全部收入和支出都反映在预算中。唐山市路南区文化体育和旅游局机关及所属事业单位的收支包含在部门预算中。</w:t>
      </w:r>
    </w:p>
    <w:p>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1156.39</w:t>
      </w:r>
      <w:r>
        <w:rPr>
          <w:rFonts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1156.39</w:t>
      </w:r>
      <w:r>
        <w:rPr>
          <w:rFonts w:ascii="Times New Roman" w:hAnsi="Times New Roman" w:eastAsia="方正仿宋_GBK" w:cs="Times New Roman"/>
          <w:color w:val="000000"/>
          <w:sz w:val="28"/>
        </w:rPr>
        <w:t>万元，基金预算收入</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万元，财政专户核拨收入</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万元，其他来源收入</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p>
    <w:p>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w:t>
      </w:r>
      <w:r>
        <w:rPr>
          <w:rFonts w:ascii="Times New Roman" w:hAnsi="Times New Roman" w:eastAsia="方正仿宋_GBK" w:cs="Times New Roman"/>
          <w:color w:val="000000"/>
          <w:sz w:val="28"/>
        </w:rPr>
        <w:t>支出说明</w:t>
      </w:r>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年支出预算</w:t>
      </w:r>
      <w:r>
        <w:rPr>
          <w:rFonts w:hint="eastAsia" w:ascii="Times New Roman" w:hAnsi="Times New Roman" w:eastAsia="方正仿宋_GBK" w:cs="Times New Roman"/>
          <w:color w:val="000000"/>
          <w:sz w:val="28"/>
          <w:lang w:val="en-US" w:eastAsia="zh-CN"/>
        </w:rPr>
        <w:t>1156.39</w:t>
      </w:r>
      <w:r>
        <w:rPr>
          <w:rFonts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1156.39</w:t>
      </w:r>
      <w:r>
        <w:rPr>
          <w:rFonts w:ascii="Times New Roman" w:hAnsi="Times New Roman" w:eastAsia="方正仿宋_GBK" w:cs="Times New Roman"/>
          <w:color w:val="000000"/>
          <w:sz w:val="28"/>
        </w:rPr>
        <w:t>万元，包括人员经费和日常公用经费</w:t>
      </w:r>
      <w:r>
        <w:rPr>
          <w:rFonts w:hint="eastAsia" w:ascii="Times New Roman" w:hAnsi="Times New Roman" w:eastAsia="方正仿宋_GBK" w:cs="Times New Roman"/>
          <w:color w:val="000000"/>
          <w:sz w:val="28"/>
          <w:lang w:val="en-US" w:eastAsia="zh-CN"/>
        </w:rPr>
        <w:t>891.18</w:t>
      </w:r>
      <w:r>
        <w:rPr>
          <w:rFonts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265.21</w:t>
      </w:r>
      <w:r>
        <w:rPr>
          <w:rFonts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lang w:val="en-US" w:eastAsia="zh-CN"/>
        </w:rPr>
        <w:t>文化体育活动</w:t>
      </w:r>
      <w:r>
        <w:rPr>
          <w:rFonts w:hint="eastAsia" w:ascii="Times New Roman" w:hAnsi="Times New Roman" w:eastAsia="方正仿宋_GBK" w:cs="Times New Roman"/>
          <w:color w:val="000000"/>
          <w:sz w:val="28"/>
          <w:lang w:eastAsia="zh-CN"/>
        </w:rPr>
        <w:t>经费</w:t>
      </w:r>
      <w:r>
        <w:rPr>
          <w:rFonts w:hint="eastAsia" w:ascii="Times New Roman" w:hAnsi="Times New Roman" w:eastAsia="方正仿宋_GBK" w:cs="Times New Roman"/>
          <w:color w:val="000000"/>
          <w:sz w:val="28"/>
        </w:rPr>
        <w:t>。</w:t>
      </w:r>
    </w:p>
    <w:p>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w:t>
      </w:r>
      <w:r>
        <w:rPr>
          <w:rFonts w:ascii="Times New Roman" w:hAnsi="Times New Roman" w:eastAsia="方正仿宋_GBK" w:cs="Times New Roman"/>
          <w:color w:val="000000"/>
          <w:sz w:val="28"/>
        </w:rPr>
        <w:t>比上年增减情况</w:t>
      </w:r>
    </w:p>
    <w:p>
      <w:pPr>
        <w:spacing w:before="0" w:after="0" w:line="500" w:lineRule="exact"/>
        <w:ind w:firstLine="560"/>
        <w:jc w:val="both"/>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2023年预算收支安排1156.39万元，较2022年预算同比减少167.95万元，主要减少项目经费。</w:t>
      </w:r>
    </w:p>
    <w:p>
      <w:pPr>
        <w:spacing w:before="0" w:after="0" w:line="500" w:lineRule="exact"/>
        <w:ind w:firstLine="560"/>
        <w:jc w:val="both"/>
        <w:outlineLvl w:val="9"/>
        <w:rPr>
          <w:rFonts w:ascii="Times New Roman" w:hAnsi="Times New Roman" w:eastAsia="方正仿宋_GBK" w:cs="Times New Roman"/>
          <w:color w:val="000000"/>
          <w:sz w:val="28"/>
        </w:rPr>
      </w:pPr>
      <w:bookmarkStart w:id="11" w:name="_Toc_3_3_0000000012"/>
      <w:r>
        <w:rPr>
          <w:rFonts w:ascii="Times New Roman" w:hAnsi="Times New Roman" w:eastAsia="方正仿宋_GBK" w:cs="Times New Roman"/>
          <w:color w:val="000000"/>
          <w:sz w:val="28"/>
        </w:rPr>
        <w:t>三、机关运行经费安排情况</w:t>
      </w:r>
      <w:bookmarkEnd w:id="11"/>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年，机关运行经费共计安排</w:t>
      </w:r>
      <w:r>
        <w:rPr>
          <w:rFonts w:hint="eastAsia" w:ascii="Times New Roman" w:hAnsi="Times New Roman" w:eastAsia="方正仿宋_GBK" w:cs="Times New Roman"/>
          <w:color w:val="000000"/>
          <w:sz w:val="28"/>
          <w:lang w:val="en-US" w:eastAsia="zh-CN"/>
        </w:rPr>
        <w:t>94.44</w:t>
      </w:r>
      <w:r>
        <w:rPr>
          <w:rFonts w:ascii="Times New Roman" w:hAnsi="Times New Roman" w:eastAsia="方正仿宋_GBK" w:cs="Times New Roman"/>
          <w:color w:val="000000"/>
          <w:sz w:val="28"/>
        </w:rPr>
        <w:t>万元，主要用于</w:t>
      </w:r>
      <w:r>
        <w:rPr>
          <w:rFonts w:hint="eastAsia" w:ascii="Times New Roman" w:hAnsi="Times New Roman" w:eastAsia="方正仿宋_GBK" w:cs="Times New Roman"/>
          <w:color w:val="000000"/>
          <w:sz w:val="28"/>
        </w:rPr>
        <w:t>办公费、邮电费、印刷费、差旅费、其他业务费</w:t>
      </w:r>
      <w:r>
        <w:rPr>
          <w:rFonts w:ascii="Times New Roman" w:hAnsi="Times New Roman" w:eastAsia="方正仿宋_GBK" w:cs="Times New Roman"/>
          <w:color w:val="000000"/>
          <w:sz w:val="28"/>
        </w:rPr>
        <w:t>支出。</w:t>
      </w:r>
    </w:p>
    <w:p>
      <w:pPr>
        <w:spacing w:before="0" w:after="0" w:line="500" w:lineRule="exact"/>
        <w:ind w:firstLine="560"/>
        <w:jc w:val="both"/>
        <w:outlineLvl w:val="9"/>
        <w:rPr>
          <w:rFonts w:ascii="Times New Roman" w:hAnsi="Times New Roman" w:eastAsia="方正仿宋_GBK" w:cs="Times New Roman"/>
          <w:color w:val="000000"/>
          <w:sz w:val="28"/>
        </w:rPr>
      </w:pPr>
    </w:p>
    <w:p>
      <w:pPr>
        <w:spacing w:before="0" w:after="0" w:line="500" w:lineRule="exact"/>
        <w:ind w:firstLine="560"/>
        <w:jc w:val="both"/>
        <w:outlineLvl w:val="9"/>
        <w:rPr>
          <w:rFonts w:ascii="Times New Roman" w:hAnsi="Times New Roman" w:eastAsia="方正仿宋_GBK" w:cs="Times New Roman"/>
          <w:color w:val="000000"/>
          <w:sz w:val="28"/>
        </w:rPr>
      </w:pPr>
      <w:bookmarkStart w:id="12" w:name="_Toc_3_3_0000000013"/>
      <w:r>
        <w:rPr>
          <w:rFonts w:ascii="Times New Roman" w:hAnsi="Times New Roman" w:eastAsia="方正仿宋_GBK" w:cs="Times New Roman"/>
          <w:color w:val="000000"/>
          <w:sz w:val="28"/>
        </w:rPr>
        <w:t>四、财政拨款“三公”经费预算情况及增减变化原因</w:t>
      </w:r>
      <w:bookmarkEnd w:id="12"/>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ascii="Times New Roman" w:hAnsi="Times New Roman" w:eastAsia="方正仿宋_GBK" w:cs="Times New Roman"/>
          <w:color w:val="000000"/>
          <w:sz w:val="28"/>
        </w:rPr>
        <w:t>年，财政拨款“三公”经费预算安排</w:t>
      </w:r>
      <w:r>
        <w:rPr>
          <w:rFonts w:hint="eastAsia" w:ascii="Times New Roman" w:hAnsi="Times New Roman" w:eastAsia="方正仿宋_GBK" w:cs="Times New Roman"/>
          <w:color w:val="000000"/>
          <w:sz w:val="28"/>
          <w:lang w:val="en-US" w:eastAsia="zh-CN"/>
        </w:rPr>
        <w:t>4.</w:t>
      </w:r>
      <w:r>
        <w:rPr>
          <w:rFonts w:hint="eastAsia" w:eastAsia="方正仿宋_GBK" w:cs="Times New Roman"/>
          <w:color w:val="000000"/>
          <w:sz w:val="28"/>
          <w:lang w:val="en-US" w:eastAsia="zh-CN"/>
        </w:rPr>
        <w:t>5</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p>
    <w:p>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（一）因公出国（境）费用0</w:t>
      </w:r>
      <w:r>
        <w:rPr>
          <w:rFonts w:ascii="Times New Roman" w:hAnsi="Times New Roman" w:eastAsia="方正仿宋_GBK" w:cs="Times New Roman"/>
          <w:color w:val="000000"/>
          <w:sz w:val="28"/>
        </w:rPr>
        <w:t>万元</w:t>
      </w:r>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与</w:t>
      </w:r>
      <w:r>
        <w:rPr>
          <w:rFonts w:hint="eastAsia" w:ascii="Times New Roman" w:hAnsi="Times New Roman" w:eastAsia="方正仿宋_GBK" w:cs="Times New Roman"/>
          <w:color w:val="000000"/>
          <w:sz w:val="28"/>
          <w:lang w:eastAsia="zh-CN"/>
        </w:rPr>
        <w:t>2022</w:t>
      </w:r>
      <w:r>
        <w:rPr>
          <w:rFonts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rPr>
        <w:t>增加0万元，</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 xml:space="preserve"> 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年与</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年持平，无变化。</w:t>
      </w:r>
    </w:p>
    <w:p>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w:t>
      </w:r>
      <w:r>
        <w:rPr>
          <w:rFonts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rPr>
        <w:t>4.5</w:t>
      </w:r>
      <w:r>
        <w:rPr>
          <w:rFonts w:ascii="Times New Roman" w:hAnsi="Times New Roman" w:eastAsia="方正仿宋_GBK" w:cs="Times New Roman"/>
          <w:color w:val="000000"/>
          <w:sz w:val="28"/>
        </w:rPr>
        <w:t>万元</w:t>
      </w:r>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与</w:t>
      </w:r>
      <w:r>
        <w:rPr>
          <w:rFonts w:hint="eastAsia" w:ascii="Times New Roman" w:hAnsi="Times New Roman" w:eastAsia="方正仿宋_GBK" w:cs="Times New Roman"/>
          <w:color w:val="000000"/>
          <w:sz w:val="28"/>
          <w:lang w:eastAsia="zh-CN"/>
        </w:rPr>
        <w:t>2022</w:t>
      </w:r>
      <w:r>
        <w:rPr>
          <w:rFonts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rPr>
        <w:t>增加0万元，</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 xml:space="preserve"> 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年与</w:t>
      </w: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年持平，无变化。</w:t>
      </w:r>
    </w:p>
    <w:p>
      <w:pPr>
        <w:spacing w:before="0" w:after="0" w:line="500" w:lineRule="exact"/>
        <w:ind w:firstLine="560"/>
        <w:jc w:val="both"/>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w:t>
      </w:r>
      <w:r>
        <w:rPr>
          <w:rFonts w:ascii="Times New Roman" w:hAnsi="Times New Roman" w:eastAsia="方正仿宋_GBK" w:cs="Times New Roman"/>
          <w:color w:val="000000"/>
          <w:sz w:val="28"/>
        </w:rPr>
        <w:t>公务接待费</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p>
    <w:p>
      <w:pPr>
        <w:spacing w:before="0" w:after="0" w:line="500" w:lineRule="exact"/>
        <w:ind w:firstLine="560"/>
        <w:jc w:val="both"/>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与</w:t>
      </w:r>
      <w:r>
        <w:rPr>
          <w:rFonts w:hint="eastAsia" w:ascii="Times New Roman" w:hAnsi="Times New Roman" w:eastAsia="方正仿宋_GBK" w:cs="Times New Roman"/>
          <w:color w:val="000000"/>
          <w:sz w:val="28"/>
          <w:lang w:eastAsia="zh-CN"/>
        </w:rPr>
        <w:t>2022</w:t>
      </w:r>
      <w:r>
        <w:rPr>
          <w:rFonts w:ascii="Times New Roman" w:hAnsi="Times New Roman" w:eastAsia="方正仿宋_GBK" w:cs="Times New Roman"/>
          <w:color w:val="000000"/>
          <w:sz w:val="28"/>
        </w:rPr>
        <w:t>年相比</w:t>
      </w:r>
      <w:r>
        <w:rPr>
          <w:rFonts w:hint="eastAsia" w:ascii="Times New Roman" w:hAnsi="Times New Roman" w:eastAsia="方正仿宋_GBK" w:cs="Times New Roman"/>
          <w:color w:val="000000"/>
          <w:sz w:val="28"/>
        </w:rPr>
        <w:t>增加0万元，</w:t>
      </w:r>
      <w:r>
        <w:rPr>
          <w:rFonts w:ascii="Times New Roman" w:hAnsi="Times New Roman" w:eastAsia="方正仿宋_GBK" w:cs="Times New Roman"/>
          <w:color w:val="000000"/>
          <w:sz w:val="28"/>
        </w:rPr>
        <w:t>减少</w:t>
      </w:r>
      <w:r>
        <w:rPr>
          <w:rFonts w:hint="eastAsia" w:ascii="Times New Roman" w:hAnsi="Times New Roman" w:eastAsia="方正仿宋_GBK" w:cs="Times New Roman"/>
          <w:color w:val="000000"/>
          <w:sz w:val="28"/>
        </w:rPr>
        <w:t>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 xml:space="preserve"> 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年与</w:t>
      </w: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年持平，无变化。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p>
    <w:p>
      <w:pPr>
        <w:pStyle w:val="23"/>
      </w:pPr>
      <w:r>
        <w:t>2022年，路南区文化体育和旅游局按照区委区政府各项决策部署，以推进文化体育旅游事业高质量发展为主题，以满足人民日益增长的美好生活需要为根本目的，坚持稳中求进工作总基调，全面推进文化强区建设。提高文化服务水平。坚持文化引领，打造一批文艺精品，创建路南特色文化品牌；传承弘扬路南人文精神，推进中华优秀传统文化传承发展工程；完善公共服务体系，大力实施文化惠民工程，优化城乡文化资源配置，加强重大文化设施和文化项目建设；完善全民健身公共服务体系，发展体育运动，增强人民体质；广泛开展冰雪运动赛事活动、普及推广群众冰雪运动。促进文化和旅游融合发展。推进实施“文化+旅游”行动，引进一批重点旅游项目，打造南湖生态游、老交大遗迹观赏游、地震科普游等精品旅游线路；进一步打响“路南周末”品牌，进一步擦亮南湖名片，扮城市夜景，提升路南旅游知名度；加强对外文化交流，传播路南声音、讲好路南故事。</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（一）发展群众文化体育活动</w:t>
      </w:r>
    </w:p>
    <w:p>
      <w:pPr>
        <w:pStyle w:val="24"/>
      </w:pPr>
      <w:r>
        <w:t>绩效目标：进一步完善公共文化服务体系建设，发展全民健身事业和冰雪运动，组织开展丰富多彩的文体活动，满足群众日常文体需求。</w:t>
      </w:r>
    </w:p>
    <w:p>
      <w:pPr>
        <w:pStyle w:val="24"/>
      </w:pPr>
      <w:r>
        <w:t>绩效指标：</w:t>
      </w:r>
    </w:p>
    <w:p>
      <w:pPr>
        <w:pStyle w:val="24"/>
      </w:pPr>
      <w:r>
        <w:t>1.年度指导组织开展大型文体活动次数，6次以上为优，4-5次为良，3-4次为中，3次以下为差。</w:t>
      </w:r>
    </w:p>
    <w:p>
      <w:pPr>
        <w:pStyle w:val="24"/>
      </w:pPr>
      <w:r>
        <w:t>2.年度培养（培训）或参与活动基层人数，30人以上为优，20-29为良，11-19为中，10以下为差。</w:t>
      </w:r>
    </w:p>
    <w:p>
      <w:pPr>
        <w:pStyle w:val="24"/>
      </w:pPr>
      <w:r>
        <w:t>（二）文化体育旅游设施建设和维护</w:t>
      </w:r>
    </w:p>
    <w:p>
      <w:pPr>
        <w:pStyle w:val="24"/>
      </w:pPr>
      <w:r>
        <w:t>绩效目标：加强文化体育旅游设施改造、维护、建设，开展公共文化体育旅游设施监督与管理，不断满足群众需求。</w:t>
      </w:r>
    </w:p>
    <w:p>
      <w:pPr>
        <w:pStyle w:val="24"/>
      </w:pPr>
      <w:r>
        <w:t>绩效指标：完成年度基本建设和维修改造计划，完成90%以上为优，70%-89%为良，50%-69%为中，50%以下为差。</w:t>
      </w:r>
    </w:p>
    <w:p>
      <w:pPr>
        <w:pStyle w:val="24"/>
      </w:pPr>
      <w:r>
        <w:t>旅游宣传推介</w:t>
      </w:r>
    </w:p>
    <w:p>
      <w:pPr>
        <w:pStyle w:val="24"/>
      </w:pPr>
      <w:r>
        <w:t>绩效目标：有效提升路南旅游的知名度、吸引力，扩大路南旅游品牌的影响力，吸引更多游客来路南观光旅游。</w:t>
      </w:r>
    </w:p>
    <w:p>
      <w:pPr>
        <w:pStyle w:val="24"/>
      </w:pPr>
      <w:r>
        <w:t>绩效指标：游客增长率10%以上为优，8%-9%为良，6%-8%为中，6%以下为差。</w:t>
      </w:r>
    </w:p>
    <w:p>
      <w:pPr>
        <w:pStyle w:val="24"/>
      </w:pPr>
      <w:r>
        <w:t>唐山市路南区文化体育和旅游局</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实现本年度发展规划目标的保障措施</w:t>
      </w:r>
    </w:p>
    <w:p>
      <w:pPr>
        <w:pStyle w:val="25"/>
      </w:pPr>
      <w:r>
        <w:t>（一）区人民政府要将公共文化服务体系建设纳入全区社会发展的总体规划，加强政策引导和组织协调，并将其列为年度工作目标管理考核内容。</w:t>
      </w:r>
    </w:p>
    <w:p>
      <w:pPr>
        <w:pStyle w:val="25"/>
      </w:pPr>
      <w:r>
        <w:t>（二）加强领导，健全体制机制，不断提升指导、服务、协调和监督能力，积极组织群众开展喜闻乐见、文明健康的文体旅活动，逐步建成一批与区域发展水平相适应的文化体育旅游设施，满足人民群众的需求。</w:t>
      </w:r>
    </w:p>
    <w:p>
      <w:pPr>
        <w:pStyle w:val="25"/>
      </w:pPr>
      <w:r>
        <w:t>（三）保障资金渠道，加大财政投入。以完善文化体育旅游公共基础设施建设为主，积极争取省、市对我区文化体育旅游事业发展的专项资金投入；区级财政要随着国民经济发展逐步增加对文化体育和旅游事业的投入，保证文化体育旅游事业经费随着财政收入的增长逐步增加。</w:t>
      </w:r>
    </w:p>
    <w:p>
      <w:pPr>
        <w:pStyle w:val="25"/>
      </w:pPr>
      <w:r>
        <w:t>（四）认真学习《河北省使用政府投资项目管理和考核问责办法》，贯彻落实路南区关于政府投资工程建设项目的若干意见，依法推进资金统筹使用。</w:t>
      </w:r>
    </w:p>
    <w:p>
      <w:pPr>
        <w:pStyle w:val="25"/>
      </w:pPr>
      <w:r>
        <w:t>（五）不断加强绩效管理，采取措施预做准备，控制偏差，保证绩效目标的实现。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3、加强绩效运行监控。按绩效预算管理要求开展绩效运行监控，发现问题及时采取措施，确保绩效目标如期保质实现。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pPr>
        <w:pStyle w:val="25"/>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spacing w:before="0" w:after="0" w:line="240" w:lineRule="auto"/>
        <w:jc w:val="left"/>
        <w:outlineLvl w:val="9"/>
        <w:rPr>
          <w:rFonts w:ascii="方正楷体_GBK" w:hAnsi="方正楷体_GBK" w:eastAsia="方正楷体_GBK" w:cs="方正楷体_GBK"/>
          <w:b/>
          <w:color w:val="000000"/>
          <w:sz w:val="32"/>
        </w:rPr>
      </w:pPr>
    </w:p>
    <w:p>
      <w:pPr>
        <w:numPr>
          <w:numId w:val="0"/>
        </w:numPr>
        <w:spacing w:before="0" w:after="0" w:line="240" w:lineRule="auto"/>
        <w:ind w:firstLine="1120" w:firstLineChars="400"/>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2"/>
          <w:lang w:val="en-US" w:eastAsia="zh-CN"/>
        </w:rPr>
        <w:t>无专项资金</w:t>
      </w: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1、2023冰雪运动经费、全民健身经费、旅游全域景标识牌制作费、省级全域旅游示范区创建绩效目标表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1.目标内容1主要用于群众性冰雪推广普及，编制旅游发展规划，指导全区旅游业发展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4块</w:t>
            </w:r>
          </w:p>
        </w:tc>
        <w:tc>
          <w:tcPr>
            <w:tcW w:w="2268" w:type="dxa"/>
            <w:vAlign w:val="center"/>
          </w:tcPr>
          <w:p>
            <w:pPr>
              <w:pStyle w:val="14"/>
            </w:pPr>
            <w:r>
              <w:t>牌子数量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资金按时支出</w:t>
            </w:r>
          </w:p>
        </w:tc>
        <w:tc>
          <w:tcPr>
            <w:tcW w:w="2835" w:type="dxa"/>
            <w:vAlign w:val="center"/>
          </w:tcPr>
          <w:p>
            <w:pPr>
              <w:pStyle w:val="14"/>
            </w:pPr>
            <w:r>
              <w:t>资金按时支出</w:t>
            </w:r>
          </w:p>
        </w:tc>
        <w:tc>
          <w:tcPr>
            <w:tcW w:w="2551" w:type="dxa"/>
            <w:vAlign w:val="center"/>
          </w:tcPr>
          <w:p>
            <w:pPr>
              <w:pStyle w:val="14"/>
            </w:pPr>
            <w:r>
              <w:t>按进度</w:t>
            </w:r>
          </w:p>
        </w:tc>
        <w:tc>
          <w:tcPr>
            <w:tcW w:w="2268" w:type="dxa"/>
            <w:vAlign w:val="center"/>
          </w:tcPr>
          <w:p>
            <w:pPr>
              <w:pStyle w:val="14"/>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按成本</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显著</w:t>
            </w:r>
          </w:p>
        </w:tc>
        <w:tc>
          <w:tcPr>
            <w:tcW w:w="2268" w:type="dxa"/>
            <w:vAlign w:val="center"/>
          </w:tcPr>
          <w:p>
            <w:pPr>
              <w:pStyle w:val="14"/>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稳定</w:t>
            </w:r>
          </w:p>
        </w:tc>
        <w:tc>
          <w:tcPr>
            <w:tcW w:w="2268" w:type="dxa"/>
            <w:vAlign w:val="center"/>
          </w:tcPr>
          <w:p>
            <w:pPr>
              <w:pStyle w:val="14"/>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稳定</w:t>
            </w:r>
          </w:p>
        </w:tc>
        <w:tc>
          <w:tcPr>
            <w:tcW w:w="2268" w:type="dxa"/>
            <w:vAlign w:val="center"/>
          </w:tcPr>
          <w:p>
            <w:pPr>
              <w:pStyle w:val="14"/>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≥95百分比</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2、2023路南区图书馆免费开放区级配套资金绩效目标表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1.目标内容1用于路南区图书馆不断完善提升馆内服务效能，补充更新馆内设施，举办各类全民阅读及展览等活动。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≥5场</w:t>
            </w:r>
          </w:p>
        </w:tc>
        <w:tc>
          <w:tcPr>
            <w:tcW w:w="2268" w:type="dxa"/>
            <w:vAlign w:val="center"/>
          </w:tcPr>
          <w:p>
            <w:pPr>
              <w:pStyle w:val="14"/>
            </w:pPr>
            <w:r>
              <w:t>举办场次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合格</w:t>
            </w:r>
          </w:p>
        </w:tc>
        <w:tc>
          <w:tcPr>
            <w:tcW w:w="2268"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资金按时支出</w:t>
            </w:r>
          </w:p>
        </w:tc>
        <w:tc>
          <w:tcPr>
            <w:tcW w:w="2551" w:type="dxa"/>
            <w:vAlign w:val="center"/>
          </w:tcPr>
          <w:p>
            <w:pPr>
              <w:pStyle w:val="14"/>
            </w:pPr>
            <w:r>
              <w:t>按进度</w:t>
            </w:r>
          </w:p>
        </w:tc>
        <w:tc>
          <w:tcPr>
            <w:tcW w:w="2268" w:type="dxa"/>
            <w:vAlign w:val="center"/>
          </w:tcPr>
          <w:p>
            <w:pPr>
              <w:pStyle w:val="14"/>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按成本</w:t>
            </w:r>
          </w:p>
        </w:tc>
        <w:tc>
          <w:tcPr>
            <w:tcW w:w="2268" w:type="dxa"/>
            <w:vAlign w:val="center"/>
          </w:tcPr>
          <w:p>
            <w:pPr>
              <w:pStyle w:val="14"/>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显著</w:t>
            </w:r>
          </w:p>
        </w:tc>
        <w:tc>
          <w:tcPr>
            <w:tcW w:w="2268" w:type="dxa"/>
            <w:vAlign w:val="center"/>
          </w:tcPr>
          <w:p>
            <w:pPr>
              <w:pStyle w:val="14"/>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稳定</w:t>
            </w:r>
          </w:p>
        </w:tc>
        <w:tc>
          <w:tcPr>
            <w:tcW w:w="2268" w:type="dxa"/>
            <w:vAlign w:val="center"/>
          </w:tcPr>
          <w:p>
            <w:pPr>
              <w:pStyle w:val="14"/>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稳定</w:t>
            </w:r>
          </w:p>
        </w:tc>
        <w:tc>
          <w:tcPr>
            <w:tcW w:w="2268" w:type="dxa"/>
            <w:vAlign w:val="center"/>
          </w:tcPr>
          <w:p>
            <w:pPr>
              <w:pStyle w:val="14"/>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≥95百分比</w:t>
            </w:r>
          </w:p>
        </w:tc>
        <w:tc>
          <w:tcPr>
            <w:tcW w:w="2268" w:type="dxa"/>
            <w:vAlign w:val="center"/>
          </w:tcPr>
          <w:p>
            <w:pPr>
              <w:pStyle w:val="14"/>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3、2023路南区文化馆（站）免费开放区级配套资金绩效目标表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广大人民群众提供基本公共文化服务项目、公共文化设施维护和设备购置、加快构建现代公共文化服务体系，促进基本公共文化服务标准化、均等化；保障广大群众读书看报、观看电视、进行文化鉴赏、开展文化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村综合性文化服务中心建筑面积</w:t>
            </w:r>
          </w:p>
        </w:tc>
        <w:tc>
          <w:tcPr>
            <w:tcW w:w="2835" w:type="dxa"/>
            <w:vAlign w:val="center"/>
          </w:tcPr>
          <w:p>
            <w:pPr>
              <w:pStyle w:val="14"/>
            </w:pPr>
            <w:r>
              <w:t>村综合性文化服务中心建筑面积</w:t>
            </w:r>
          </w:p>
        </w:tc>
        <w:tc>
          <w:tcPr>
            <w:tcW w:w="2551" w:type="dxa"/>
            <w:vAlign w:val="center"/>
          </w:tcPr>
          <w:p>
            <w:pPr>
              <w:pStyle w:val="14"/>
            </w:pPr>
            <w:r>
              <w:t>≥50平方米</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村文体活动器材购置数量</w:t>
            </w:r>
          </w:p>
        </w:tc>
        <w:tc>
          <w:tcPr>
            <w:tcW w:w="2835" w:type="dxa"/>
            <w:vAlign w:val="center"/>
          </w:tcPr>
          <w:p>
            <w:pPr>
              <w:pStyle w:val="14"/>
            </w:pPr>
            <w:r>
              <w:t>村文体活动器材购置数量</w:t>
            </w:r>
          </w:p>
        </w:tc>
        <w:tc>
          <w:tcPr>
            <w:tcW w:w="2551" w:type="dxa"/>
            <w:vAlign w:val="center"/>
          </w:tcPr>
          <w:p>
            <w:pPr>
              <w:pStyle w:val="14"/>
            </w:pPr>
            <w:r>
              <w:t>≥1台套</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建设更新县级应急广播系统数量</w:t>
            </w:r>
          </w:p>
        </w:tc>
        <w:tc>
          <w:tcPr>
            <w:tcW w:w="2835" w:type="dxa"/>
            <w:vAlign w:val="center"/>
          </w:tcPr>
          <w:p>
            <w:pPr>
              <w:pStyle w:val="14"/>
            </w:pPr>
            <w:r>
              <w:t>建设更新县级应急广播系统数量</w:t>
            </w:r>
          </w:p>
        </w:tc>
        <w:tc>
          <w:tcPr>
            <w:tcW w:w="2551" w:type="dxa"/>
            <w:vAlign w:val="center"/>
          </w:tcPr>
          <w:p>
            <w:pPr>
              <w:pStyle w:val="14"/>
            </w:pPr>
            <w:r>
              <w:t>≥1个</w:t>
            </w:r>
          </w:p>
        </w:tc>
        <w:tc>
          <w:tcPr>
            <w:tcW w:w="2268" w:type="dxa"/>
            <w:vAlign w:val="center"/>
          </w:tcPr>
          <w:p>
            <w:pPr>
              <w:pStyle w:val="14"/>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群众文化机构组织文艺活动次数</w:t>
            </w:r>
          </w:p>
        </w:tc>
        <w:tc>
          <w:tcPr>
            <w:tcW w:w="2835" w:type="dxa"/>
            <w:vAlign w:val="center"/>
          </w:tcPr>
          <w:p>
            <w:pPr>
              <w:pStyle w:val="14"/>
            </w:pPr>
            <w:r>
              <w:t>群众文化机构组织文艺活动次数</w:t>
            </w:r>
          </w:p>
        </w:tc>
        <w:tc>
          <w:tcPr>
            <w:tcW w:w="2551" w:type="dxa"/>
            <w:vAlign w:val="center"/>
          </w:tcPr>
          <w:p>
            <w:pPr>
              <w:pStyle w:val="14"/>
            </w:pPr>
            <w:r>
              <w:t>≥3次</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对乡镇送戏次数</w:t>
            </w:r>
          </w:p>
        </w:tc>
        <w:tc>
          <w:tcPr>
            <w:tcW w:w="2835" w:type="dxa"/>
            <w:vAlign w:val="center"/>
          </w:tcPr>
          <w:p>
            <w:pPr>
              <w:pStyle w:val="14"/>
            </w:pPr>
            <w:r>
              <w:t>对乡镇送戏次数</w:t>
            </w:r>
          </w:p>
        </w:tc>
        <w:tc>
          <w:tcPr>
            <w:tcW w:w="2551" w:type="dxa"/>
            <w:vAlign w:val="center"/>
          </w:tcPr>
          <w:p>
            <w:pPr>
              <w:pStyle w:val="14"/>
            </w:pPr>
            <w:r>
              <w:t>≥1次</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村文体活动器材配备率</w:t>
            </w:r>
          </w:p>
        </w:tc>
        <w:tc>
          <w:tcPr>
            <w:tcW w:w="2835" w:type="dxa"/>
            <w:vAlign w:val="center"/>
          </w:tcPr>
          <w:p>
            <w:pPr>
              <w:pStyle w:val="14"/>
            </w:pPr>
            <w:r>
              <w:t>村文体活动器材配备率</w:t>
            </w:r>
          </w:p>
        </w:tc>
        <w:tc>
          <w:tcPr>
            <w:tcW w:w="2551" w:type="dxa"/>
            <w:vAlign w:val="center"/>
          </w:tcPr>
          <w:p>
            <w:pPr>
              <w:pStyle w:val="14"/>
            </w:pPr>
            <w:r>
              <w:t>≥100%</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村综合性文化服务中心覆盖率</w:t>
            </w:r>
          </w:p>
        </w:tc>
        <w:tc>
          <w:tcPr>
            <w:tcW w:w="2835" w:type="dxa"/>
            <w:vAlign w:val="center"/>
          </w:tcPr>
          <w:p>
            <w:pPr>
              <w:pStyle w:val="14"/>
            </w:pPr>
            <w:r>
              <w:t>村综合性文化服务中心覆盖率</w:t>
            </w:r>
          </w:p>
        </w:tc>
        <w:tc>
          <w:tcPr>
            <w:tcW w:w="2551" w:type="dxa"/>
            <w:vAlign w:val="center"/>
          </w:tcPr>
          <w:p>
            <w:pPr>
              <w:pStyle w:val="14"/>
            </w:pPr>
            <w:r>
              <w:t>≥100%</w:t>
            </w:r>
          </w:p>
        </w:tc>
        <w:tc>
          <w:tcPr>
            <w:tcW w:w="2268" w:type="dxa"/>
            <w:vAlign w:val="center"/>
          </w:tcPr>
          <w:p>
            <w:pPr>
              <w:pStyle w:val="14"/>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文化服务中心建设补助标准</w:t>
            </w:r>
          </w:p>
        </w:tc>
        <w:tc>
          <w:tcPr>
            <w:tcW w:w="2835" w:type="dxa"/>
            <w:vAlign w:val="center"/>
          </w:tcPr>
          <w:p>
            <w:pPr>
              <w:pStyle w:val="14"/>
            </w:pPr>
            <w:r>
              <w:t>文化服务中心建设补助标准</w:t>
            </w:r>
          </w:p>
        </w:tc>
        <w:tc>
          <w:tcPr>
            <w:tcW w:w="2551" w:type="dxa"/>
            <w:vAlign w:val="center"/>
          </w:tcPr>
          <w:p>
            <w:pPr>
              <w:pStyle w:val="14"/>
            </w:pPr>
            <w:r>
              <w:t>≥1万元/平方米</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戏曲进乡村文艺演出补助标准</w:t>
            </w:r>
          </w:p>
        </w:tc>
        <w:tc>
          <w:tcPr>
            <w:tcW w:w="2835" w:type="dxa"/>
            <w:vAlign w:val="center"/>
          </w:tcPr>
          <w:p>
            <w:pPr>
              <w:pStyle w:val="14"/>
            </w:pPr>
            <w:r>
              <w:t>戏曲进乡村文艺演出补助标准</w:t>
            </w:r>
          </w:p>
        </w:tc>
        <w:tc>
          <w:tcPr>
            <w:tcW w:w="2551" w:type="dxa"/>
            <w:vAlign w:val="center"/>
          </w:tcPr>
          <w:p>
            <w:pPr>
              <w:pStyle w:val="14"/>
            </w:pPr>
            <w:r>
              <w:t>≥1万元/场</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广播节目综合人口覆盖率</w:t>
            </w:r>
          </w:p>
        </w:tc>
        <w:tc>
          <w:tcPr>
            <w:tcW w:w="2835" w:type="dxa"/>
            <w:vAlign w:val="center"/>
          </w:tcPr>
          <w:p>
            <w:pPr>
              <w:pStyle w:val="14"/>
            </w:pPr>
            <w:r>
              <w:t>广播节目综合人口覆盖率</w:t>
            </w:r>
          </w:p>
        </w:tc>
        <w:tc>
          <w:tcPr>
            <w:tcW w:w="2551" w:type="dxa"/>
            <w:vAlign w:val="center"/>
          </w:tcPr>
          <w:p>
            <w:pPr>
              <w:pStyle w:val="14"/>
            </w:pPr>
            <w:r>
              <w:t>≥80%</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电视节目综合人口覆盖率</w:t>
            </w:r>
          </w:p>
        </w:tc>
        <w:tc>
          <w:tcPr>
            <w:tcW w:w="2835" w:type="dxa"/>
            <w:vAlign w:val="center"/>
          </w:tcPr>
          <w:p>
            <w:pPr>
              <w:pStyle w:val="14"/>
            </w:pPr>
            <w:r>
              <w:t>电视节目综合人口覆盖率</w:t>
            </w:r>
          </w:p>
        </w:tc>
        <w:tc>
          <w:tcPr>
            <w:tcW w:w="2551" w:type="dxa"/>
            <w:vAlign w:val="center"/>
          </w:tcPr>
          <w:p>
            <w:pPr>
              <w:pStyle w:val="14"/>
            </w:pPr>
            <w:r>
              <w:t>≥80%</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文体活动室接待人数</w:t>
            </w:r>
          </w:p>
        </w:tc>
        <w:tc>
          <w:tcPr>
            <w:tcW w:w="2835" w:type="dxa"/>
            <w:vAlign w:val="center"/>
          </w:tcPr>
          <w:p>
            <w:pPr>
              <w:pStyle w:val="14"/>
            </w:pPr>
            <w:r>
              <w:t>文体活动室接待人数</w:t>
            </w:r>
          </w:p>
        </w:tc>
        <w:tc>
          <w:tcPr>
            <w:tcW w:w="2551" w:type="dxa"/>
            <w:vAlign w:val="center"/>
          </w:tcPr>
          <w:p>
            <w:pPr>
              <w:pStyle w:val="14"/>
            </w:pPr>
            <w:r>
              <w:t>≥5000人次</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各类文艺活动观看人数</w:t>
            </w:r>
          </w:p>
        </w:tc>
        <w:tc>
          <w:tcPr>
            <w:tcW w:w="2835" w:type="dxa"/>
            <w:vAlign w:val="center"/>
          </w:tcPr>
          <w:p>
            <w:pPr>
              <w:pStyle w:val="14"/>
            </w:pPr>
            <w:r>
              <w:t>各类文艺活动观看人数</w:t>
            </w:r>
          </w:p>
        </w:tc>
        <w:tc>
          <w:tcPr>
            <w:tcW w:w="2551" w:type="dxa"/>
            <w:vAlign w:val="center"/>
          </w:tcPr>
          <w:p>
            <w:pPr>
              <w:pStyle w:val="14"/>
            </w:pPr>
            <w:r>
              <w:t>≥2000人次</w:t>
            </w:r>
          </w:p>
        </w:tc>
        <w:tc>
          <w:tcPr>
            <w:tcW w:w="2268" w:type="dxa"/>
            <w:vAlign w:val="center"/>
          </w:tcPr>
          <w:p>
            <w:pPr>
              <w:pStyle w:val="14"/>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≥5000人</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4、2023年省级三馆一站免费开放补助资金绩效目标表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广大人民群众提供基本公共文化服务项目、公共文化体育设施维护和设备购置、基层公共文化服务人才队伍建设以及基本公共文化服务；加快构建现代公共文化服务体系，促进基本公共文化服务标准化、均等化；保障广大群众读书看报、观看电视、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举办群众文化活动</w:t>
            </w:r>
          </w:p>
        </w:tc>
        <w:tc>
          <w:tcPr>
            <w:tcW w:w="2835" w:type="dxa"/>
            <w:vAlign w:val="center"/>
          </w:tcPr>
          <w:p>
            <w:pPr>
              <w:pStyle w:val="14"/>
            </w:pPr>
            <w:r>
              <w:t>活动场次</w:t>
            </w:r>
          </w:p>
        </w:tc>
        <w:tc>
          <w:tcPr>
            <w:tcW w:w="2551" w:type="dxa"/>
            <w:vAlign w:val="center"/>
          </w:tcPr>
          <w:p>
            <w:pPr>
              <w:pStyle w:val="14"/>
            </w:pPr>
            <w:r>
              <w:t>≥10活动场次</w:t>
            </w:r>
          </w:p>
        </w:tc>
        <w:tc>
          <w:tcPr>
            <w:tcW w:w="2268" w:type="dxa"/>
            <w:vAlign w:val="center"/>
          </w:tcPr>
          <w:p>
            <w:pPr>
              <w:pStyle w:val="14"/>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加大政府购买公共文化服务力度</w:t>
            </w:r>
          </w:p>
        </w:tc>
        <w:tc>
          <w:tcPr>
            <w:tcW w:w="2835" w:type="dxa"/>
            <w:vAlign w:val="center"/>
          </w:tcPr>
          <w:p>
            <w:pPr>
              <w:pStyle w:val="14"/>
            </w:pPr>
            <w:r>
              <w:t>活动效果</w:t>
            </w:r>
          </w:p>
        </w:tc>
        <w:tc>
          <w:tcPr>
            <w:tcW w:w="2551" w:type="dxa"/>
            <w:vAlign w:val="center"/>
          </w:tcPr>
          <w:p>
            <w:pPr>
              <w:pStyle w:val="14"/>
            </w:pPr>
            <w:r>
              <w:t>稳步提升</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按标准安排经费</w:t>
            </w:r>
          </w:p>
        </w:tc>
        <w:tc>
          <w:tcPr>
            <w:tcW w:w="2835" w:type="dxa"/>
            <w:vAlign w:val="center"/>
          </w:tcPr>
          <w:p>
            <w:pPr>
              <w:pStyle w:val="14"/>
            </w:pPr>
            <w:r>
              <w:t>按标准安排经费</w:t>
            </w:r>
          </w:p>
        </w:tc>
        <w:tc>
          <w:tcPr>
            <w:tcW w:w="2551" w:type="dxa"/>
            <w:vAlign w:val="center"/>
          </w:tcPr>
          <w:p>
            <w:pPr>
              <w:pStyle w:val="14"/>
            </w:pPr>
            <w:r>
              <w:t>按标准安排经费</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按时间进度完成</w:t>
            </w:r>
          </w:p>
        </w:tc>
        <w:tc>
          <w:tcPr>
            <w:tcW w:w="2835" w:type="dxa"/>
            <w:vAlign w:val="center"/>
          </w:tcPr>
          <w:p>
            <w:pPr>
              <w:pStyle w:val="14"/>
            </w:pPr>
            <w:r>
              <w:t>按时间进度使用经费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公共文化设施免费开放</w:t>
            </w:r>
          </w:p>
        </w:tc>
        <w:tc>
          <w:tcPr>
            <w:tcW w:w="2835" w:type="dxa"/>
            <w:vAlign w:val="center"/>
          </w:tcPr>
          <w:p>
            <w:pPr>
              <w:pStyle w:val="14"/>
            </w:pPr>
            <w:r>
              <w:t>确保文化站、综合文化服务中心免费开放、正常运转</w:t>
            </w:r>
          </w:p>
        </w:tc>
        <w:tc>
          <w:tcPr>
            <w:tcW w:w="2551" w:type="dxa"/>
            <w:vAlign w:val="center"/>
          </w:tcPr>
          <w:p>
            <w:pPr>
              <w:pStyle w:val="14"/>
            </w:pPr>
            <w:r>
              <w:t>可持续</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公共文化服务水平提升</w:t>
            </w:r>
          </w:p>
        </w:tc>
        <w:tc>
          <w:tcPr>
            <w:tcW w:w="2551" w:type="dxa"/>
            <w:vAlign w:val="center"/>
          </w:tcPr>
          <w:p>
            <w:pPr>
              <w:pStyle w:val="14"/>
            </w:pPr>
            <w:r>
              <w:t>稳步提升</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全民综合阅读率</w:t>
            </w:r>
          </w:p>
        </w:tc>
        <w:tc>
          <w:tcPr>
            <w:tcW w:w="2835" w:type="dxa"/>
            <w:vAlign w:val="center"/>
          </w:tcPr>
          <w:p>
            <w:pPr>
              <w:pStyle w:val="14"/>
            </w:pPr>
            <w:r>
              <w:t>全民综合阅读率</w:t>
            </w:r>
          </w:p>
        </w:tc>
        <w:tc>
          <w:tcPr>
            <w:tcW w:w="2551" w:type="dxa"/>
            <w:vAlign w:val="center"/>
          </w:tcPr>
          <w:p>
            <w:pPr>
              <w:pStyle w:val="14"/>
            </w:pPr>
            <w:r>
              <w:t>稳步提升</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群众对国家基本公共文化服务满意度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广大人民群众提供基本公共文化服务项目、公共文化体育设施维护和设备购置、基层公共文化服务人才队伍建设以及基本公共文化服务；加快构建现代公共文化服务体系，促进基本公共文化服务标准化、均等化；保障广大群众读书看报、观看电视、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举办大型群众性文化、阅读活动</w:t>
            </w:r>
          </w:p>
        </w:tc>
        <w:tc>
          <w:tcPr>
            <w:tcW w:w="2835" w:type="dxa"/>
            <w:vAlign w:val="center"/>
          </w:tcPr>
          <w:p>
            <w:pPr>
              <w:pStyle w:val="14"/>
            </w:pPr>
            <w:r>
              <w:t>活动场次</w:t>
            </w:r>
          </w:p>
        </w:tc>
        <w:tc>
          <w:tcPr>
            <w:tcW w:w="2551" w:type="dxa"/>
            <w:vAlign w:val="center"/>
          </w:tcPr>
          <w:p>
            <w:pPr>
              <w:pStyle w:val="14"/>
            </w:pPr>
            <w:r>
              <w:t>≥10活动场次</w:t>
            </w:r>
          </w:p>
        </w:tc>
        <w:tc>
          <w:tcPr>
            <w:tcW w:w="2268" w:type="dxa"/>
            <w:vAlign w:val="center"/>
          </w:tcPr>
          <w:p>
            <w:pPr>
              <w:pStyle w:val="14"/>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加大政府购买公共文化服务力度</w:t>
            </w:r>
          </w:p>
        </w:tc>
        <w:tc>
          <w:tcPr>
            <w:tcW w:w="2835" w:type="dxa"/>
            <w:vAlign w:val="center"/>
          </w:tcPr>
          <w:p>
            <w:pPr>
              <w:pStyle w:val="14"/>
            </w:pPr>
            <w:r>
              <w:t>活动效果</w:t>
            </w:r>
          </w:p>
        </w:tc>
        <w:tc>
          <w:tcPr>
            <w:tcW w:w="2551" w:type="dxa"/>
            <w:vAlign w:val="center"/>
          </w:tcPr>
          <w:p>
            <w:pPr>
              <w:pStyle w:val="14"/>
            </w:pPr>
            <w:r>
              <w:t>稳步提升</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按标准安排经费</w:t>
            </w:r>
          </w:p>
        </w:tc>
        <w:tc>
          <w:tcPr>
            <w:tcW w:w="2835" w:type="dxa"/>
            <w:vAlign w:val="center"/>
          </w:tcPr>
          <w:p>
            <w:pPr>
              <w:pStyle w:val="14"/>
            </w:pPr>
            <w:r>
              <w:t>按标准安排经费</w:t>
            </w:r>
          </w:p>
        </w:tc>
        <w:tc>
          <w:tcPr>
            <w:tcW w:w="2551" w:type="dxa"/>
            <w:vAlign w:val="center"/>
          </w:tcPr>
          <w:p>
            <w:pPr>
              <w:pStyle w:val="14"/>
            </w:pPr>
            <w:r>
              <w:t>按标准安排经费</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按时间进度完成</w:t>
            </w:r>
          </w:p>
        </w:tc>
        <w:tc>
          <w:tcPr>
            <w:tcW w:w="2835" w:type="dxa"/>
            <w:vAlign w:val="center"/>
          </w:tcPr>
          <w:p>
            <w:pPr>
              <w:pStyle w:val="14"/>
            </w:pPr>
            <w:r>
              <w:t>按时间进度使用经费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公共文化设施免费开放</w:t>
            </w:r>
          </w:p>
        </w:tc>
        <w:tc>
          <w:tcPr>
            <w:tcW w:w="2835" w:type="dxa"/>
            <w:vAlign w:val="center"/>
          </w:tcPr>
          <w:p>
            <w:pPr>
              <w:pStyle w:val="14"/>
            </w:pPr>
            <w:r>
              <w:t>确保文化站、综合文化服务中心免费开放、正常运转</w:t>
            </w:r>
          </w:p>
        </w:tc>
        <w:tc>
          <w:tcPr>
            <w:tcW w:w="2551" w:type="dxa"/>
            <w:vAlign w:val="center"/>
          </w:tcPr>
          <w:p>
            <w:pPr>
              <w:pStyle w:val="14"/>
            </w:pPr>
            <w:r>
              <w:t>可持续</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基本公共文化服务水平</w:t>
            </w:r>
          </w:p>
        </w:tc>
        <w:tc>
          <w:tcPr>
            <w:tcW w:w="2835" w:type="dxa"/>
            <w:vAlign w:val="center"/>
          </w:tcPr>
          <w:p>
            <w:pPr>
              <w:pStyle w:val="14"/>
            </w:pPr>
            <w:r>
              <w:t>公共文化服务水平提升</w:t>
            </w:r>
          </w:p>
        </w:tc>
        <w:tc>
          <w:tcPr>
            <w:tcW w:w="2551" w:type="dxa"/>
            <w:vAlign w:val="center"/>
          </w:tcPr>
          <w:p>
            <w:pPr>
              <w:pStyle w:val="14"/>
            </w:pPr>
            <w:r>
              <w:t>稳步提升</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全民综合阅读率</w:t>
            </w:r>
          </w:p>
        </w:tc>
        <w:tc>
          <w:tcPr>
            <w:tcW w:w="2835" w:type="dxa"/>
            <w:vAlign w:val="center"/>
          </w:tcPr>
          <w:p>
            <w:pPr>
              <w:pStyle w:val="14"/>
            </w:pPr>
            <w:r>
              <w:t>全民综合阅读率</w:t>
            </w:r>
          </w:p>
        </w:tc>
        <w:tc>
          <w:tcPr>
            <w:tcW w:w="2551" w:type="dxa"/>
            <w:vAlign w:val="center"/>
          </w:tcPr>
          <w:p>
            <w:pPr>
              <w:pStyle w:val="14"/>
            </w:pPr>
            <w:r>
              <w:t>稳步提升</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群众对国家基本公共文化服务满意度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6、2023年中央补助地方美术馆、公共图书馆、文化馆9（站）免费开放补助资金绩效目标表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广大人民群众提供基本公共文化服务项目、公共文化体育设施维护和设备购置、基层公共文化服务人才队伍建设以及基本公共文化服务；加快构建现代公共文化服务体系，促进基本公共文化服务标准化、均等化；保障广大群众读书看报、观看电视、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≥20活动场次</w:t>
            </w:r>
          </w:p>
        </w:tc>
        <w:tc>
          <w:tcPr>
            <w:tcW w:w="2268" w:type="dxa"/>
            <w:vAlign w:val="center"/>
          </w:tcPr>
          <w:p>
            <w:pPr>
              <w:pStyle w:val="14"/>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加大政府购买公共文化服务力度</w:t>
            </w:r>
          </w:p>
        </w:tc>
        <w:tc>
          <w:tcPr>
            <w:tcW w:w="2835" w:type="dxa"/>
            <w:vAlign w:val="center"/>
          </w:tcPr>
          <w:p>
            <w:pPr>
              <w:pStyle w:val="14"/>
            </w:pPr>
            <w:r>
              <w:t>活动效果</w:t>
            </w:r>
          </w:p>
        </w:tc>
        <w:tc>
          <w:tcPr>
            <w:tcW w:w="2551" w:type="dxa"/>
            <w:vAlign w:val="center"/>
          </w:tcPr>
          <w:p>
            <w:pPr>
              <w:pStyle w:val="14"/>
            </w:pPr>
            <w:r>
              <w:t>稳步提升</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按标准安排经费</w:t>
            </w:r>
          </w:p>
        </w:tc>
        <w:tc>
          <w:tcPr>
            <w:tcW w:w="2835" w:type="dxa"/>
            <w:vAlign w:val="center"/>
          </w:tcPr>
          <w:p>
            <w:pPr>
              <w:pStyle w:val="14"/>
            </w:pPr>
            <w:r>
              <w:t>按标准安排经费</w:t>
            </w:r>
          </w:p>
        </w:tc>
        <w:tc>
          <w:tcPr>
            <w:tcW w:w="2551" w:type="dxa"/>
            <w:vAlign w:val="center"/>
          </w:tcPr>
          <w:p>
            <w:pPr>
              <w:pStyle w:val="14"/>
            </w:pPr>
            <w:r>
              <w:t>按标准安排经费</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按时间进度完成</w:t>
            </w:r>
          </w:p>
        </w:tc>
        <w:tc>
          <w:tcPr>
            <w:tcW w:w="2835" w:type="dxa"/>
            <w:vAlign w:val="center"/>
          </w:tcPr>
          <w:p>
            <w:pPr>
              <w:pStyle w:val="14"/>
            </w:pPr>
            <w:r>
              <w:t>按时间进度使用经费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公共文化设施免费开放</w:t>
            </w:r>
          </w:p>
        </w:tc>
        <w:tc>
          <w:tcPr>
            <w:tcW w:w="2835" w:type="dxa"/>
            <w:vAlign w:val="center"/>
          </w:tcPr>
          <w:p>
            <w:pPr>
              <w:pStyle w:val="14"/>
            </w:pPr>
            <w:r>
              <w:t>确保文化站、综合文化服务中心免费开放、正常运转</w:t>
            </w:r>
          </w:p>
        </w:tc>
        <w:tc>
          <w:tcPr>
            <w:tcW w:w="2551" w:type="dxa"/>
            <w:vAlign w:val="center"/>
          </w:tcPr>
          <w:p>
            <w:pPr>
              <w:pStyle w:val="14"/>
            </w:pPr>
            <w:r>
              <w:t>可持续</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公共文化服务水平提升</w:t>
            </w:r>
          </w:p>
        </w:tc>
        <w:tc>
          <w:tcPr>
            <w:tcW w:w="2551" w:type="dxa"/>
            <w:vAlign w:val="center"/>
          </w:tcPr>
          <w:p>
            <w:pPr>
              <w:pStyle w:val="14"/>
            </w:pPr>
            <w:r>
              <w:t>稳步提升</w:t>
            </w:r>
          </w:p>
        </w:tc>
        <w:tc>
          <w:tcPr>
            <w:tcW w:w="2268" w:type="dxa"/>
            <w:vAlign w:val="center"/>
          </w:tcPr>
          <w:p>
            <w:pPr>
              <w:pStyle w:val="14"/>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全民综合阅读率</w:t>
            </w:r>
          </w:p>
        </w:tc>
        <w:tc>
          <w:tcPr>
            <w:tcW w:w="2835" w:type="dxa"/>
            <w:vAlign w:val="center"/>
          </w:tcPr>
          <w:p>
            <w:pPr>
              <w:pStyle w:val="14"/>
            </w:pPr>
            <w:r>
              <w:t>全民综合阅读率</w:t>
            </w:r>
          </w:p>
        </w:tc>
        <w:tc>
          <w:tcPr>
            <w:tcW w:w="2551" w:type="dxa"/>
            <w:vAlign w:val="center"/>
          </w:tcPr>
          <w:p>
            <w:pPr>
              <w:pStyle w:val="14"/>
            </w:pPr>
            <w:r>
              <w:t>稳步提升</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群众对国家基本公共文化服务满意度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1.目标内容1招商引资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工作标准</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工作标准</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工作标准</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工作标准</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促进</w:t>
            </w:r>
          </w:p>
        </w:tc>
        <w:tc>
          <w:tcPr>
            <w:tcW w:w="2268" w:type="dxa"/>
            <w:vAlign w:val="center"/>
          </w:tcPr>
          <w:p>
            <w:pPr>
              <w:pStyle w:val="14"/>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社会效益显著</w:t>
            </w:r>
          </w:p>
        </w:tc>
        <w:tc>
          <w:tcPr>
            <w:tcW w:w="2835" w:type="dxa"/>
            <w:vAlign w:val="center"/>
          </w:tcPr>
          <w:p>
            <w:pPr>
              <w:pStyle w:val="14"/>
            </w:pPr>
            <w:r>
              <w:t>社会效益显著</w:t>
            </w:r>
          </w:p>
        </w:tc>
        <w:tc>
          <w:tcPr>
            <w:tcW w:w="2551" w:type="dxa"/>
            <w:vAlign w:val="center"/>
          </w:tcPr>
          <w:p>
            <w:pPr>
              <w:pStyle w:val="14"/>
            </w:pPr>
            <w:r>
              <w:t>提升</w:t>
            </w:r>
          </w:p>
        </w:tc>
        <w:tc>
          <w:tcPr>
            <w:tcW w:w="2268"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持续</w:t>
            </w:r>
          </w:p>
        </w:tc>
        <w:tc>
          <w:tcPr>
            <w:tcW w:w="2268" w:type="dxa"/>
            <w:vAlign w:val="center"/>
          </w:tcPr>
          <w:p>
            <w:pPr>
              <w:pStyle w:val="14"/>
            </w:pPr>
            <w:r>
              <w:t>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2023年，唐山市路南区文化体育和旅游局安排政府采购预算80.90万元。具体内容见下表。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80.90</w:t>
            </w:r>
          </w:p>
        </w:tc>
        <w:tc>
          <w:tcPr>
            <w:tcW w:w="964" w:type="dxa"/>
            <w:vAlign w:val="center"/>
          </w:tcPr>
          <w:p>
            <w:pPr>
              <w:pStyle w:val="17"/>
            </w:pPr>
            <w:r>
              <w:t>80.90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唐山市路南区文化体育和旅游局本级小计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80.90</w:t>
            </w:r>
          </w:p>
        </w:tc>
        <w:tc>
          <w:tcPr>
            <w:tcW w:w="964" w:type="dxa"/>
            <w:vAlign w:val="center"/>
          </w:tcPr>
          <w:p>
            <w:pPr>
              <w:pStyle w:val="17"/>
            </w:pPr>
            <w:r>
              <w:t>80.90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公用经费_三保支出</w:t>
            </w:r>
          </w:p>
        </w:tc>
        <w:tc>
          <w:tcPr>
            <w:tcW w:w="964" w:type="dxa"/>
            <w:vAlign w:val="center"/>
          </w:tcPr>
          <w:p>
            <w:pPr>
              <w:pStyle w:val="13"/>
            </w:pPr>
            <w:r>
              <w:t>65.06</w:t>
            </w:r>
          </w:p>
        </w:tc>
        <w:tc>
          <w:tcPr>
            <w:tcW w:w="1134" w:type="dxa"/>
            <w:vAlign w:val="center"/>
          </w:tcPr>
          <w:p>
            <w:pPr>
              <w:pStyle w:val="14"/>
            </w:pPr>
            <w:r>
              <w:t>其他安全保护服务</w:t>
            </w:r>
          </w:p>
        </w:tc>
        <w:tc>
          <w:tcPr>
            <w:tcW w:w="1134" w:type="dxa"/>
            <w:vAlign w:val="center"/>
          </w:tcPr>
          <w:p>
            <w:pPr>
              <w:pStyle w:val="14"/>
            </w:pPr>
            <w:r>
              <w:t>C05049900</w:t>
            </w:r>
          </w:p>
        </w:tc>
        <w:tc>
          <w:tcPr>
            <w:tcW w:w="709" w:type="dxa"/>
            <w:vAlign w:val="center"/>
          </w:tcPr>
          <w:p>
            <w:pPr>
              <w:pStyle w:val="15"/>
            </w:pPr>
            <w:r>
              <w:t>年</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2023年中央补助地方公共文化服务体系建设专项资金</w:t>
            </w:r>
          </w:p>
        </w:tc>
        <w:tc>
          <w:tcPr>
            <w:tcW w:w="964" w:type="dxa"/>
            <w:vAlign w:val="center"/>
          </w:tcPr>
          <w:p>
            <w:pPr>
              <w:pStyle w:val="13"/>
            </w:pPr>
            <w:r>
              <w:t>138.21</w:t>
            </w:r>
          </w:p>
        </w:tc>
        <w:tc>
          <w:tcPr>
            <w:tcW w:w="1134" w:type="dxa"/>
            <w:vAlign w:val="center"/>
          </w:tcPr>
          <w:p>
            <w:pPr>
              <w:pStyle w:val="14"/>
            </w:pPr>
            <w:r>
              <w:t>其他图书档案设备</w:t>
            </w:r>
          </w:p>
        </w:tc>
        <w:tc>
          <w:tcPr>
            <w:tcW w:w="1134" w:type="dxa"/>
            <w:vAlign w:val="center"/>
          </w:tcPr>
          <w:p>
            <w:pPr>
              <w:pStyle w:val="14"/>
            </w:pPr>
            <w:r>
              <w:t>A02049900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2023年中央补助地方公共文化服务体系建设专项资金</w:t>
            </w:r>
          </w:p>
        </w:tc>
        <w:tc>
          <w:tcPr>
            <w:tcW w:w="964" w:type="dxa"/>
            <w:vAlign w:val="center"/>
          </w:tcPr>
          <w:p>
            <w:pPr>
              <w:pStyle w:val="13"/>
            </w:pPr>
            <w:r>
              <w:t>138.21</w:t>
            </w:r>
          </w:p>
        </w:tc>
        <w:tc>
          <w:tcPr>
            <w:tcW w:w="1134" w:type="dxa"/>
            <w:vAlign w:val="center"/>
          </w:tcPr>
          <w:p>
            <w:pPr>
              <w:pStyle w:val="14"/>
            </w:pPr>
            <w:r>
              <w:t>其他普通图书</w:t>
            </w:r>
          </w:p>
        </w:tc>
        <w:tc>
          <w:tcPr>
            <w:tcW w:w="1134" w:type="dxa"/>
            <w:vAlign w:val="center"/>
          </w:tcPr>
          <w:p>
            <w:pPr>
              <w:pStyle w:val="14"/>
            </w:pPr>
            <w:r>
              <w:t>A04010199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唐山市路南区文化体育和旅游局（含所属单位）上年末固定资产金额为0.00万元（详见下表）。本年度拟购置固定资产总额为0.00万元，已按要求列入政府采购预算，详见政府采购预算表。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357唐山市路南区文化体育和旅游局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618C5"/>
    <w:multiLevelType w:val="singleLevel"/>
    <w:tmpl w:val="D73618C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JiZTcyNDg5NGE4YjRhMTJlNTZmZWMxNzk1MjlkN2YifQ=="/>
  </w:docVars>
  <w:rsids>
    <w:rsidRoot w:val="00000000"/>
    <w:rsid w:val="05B06C8D"/>
    <w:rsid w:val="148F1107"/>
    <w:rsid w:val="2FDE6C5E"/>
    <w:rsid w:val="3137446D"/>
    <w:rsid w:val="44BD1C09"/>
    <w:rsid w:val="48FA1B8B"/>
    <w:rsid w:val="55384C62"/>
    <w:rsid w:val="695F4269"/>
    <w:rsid w:val="7B787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2023-03-22T14:46:23Z</dcterms:created>
  <dcterms:modified xsi:type="dcterms:W3CDTF">2023-03-22T06:46:23Z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2023-03-22T14:46:23Z</dcterms:created>
  <dcterms:modified xsi:type="dcterms:W3CDTF">2023-03-22T06:46:23Z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2023-03-22T14:46:24Z</dcterms:created>
  <dcterms:modified xsi:type="dcterms:W3CDTF">2023-03-22T06:46:24Z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2023-03-22T14:46:27Z</dcterms:created>
  <dcterms:modified xsi:type="dcterms:W3CDTF">2023-03-22T06:46:27Z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2023-03-22T14:46:20Z</dcterms:created>
  <dcterms:modified xsi:type="dcterms:W3CDTF">2023-03-22T06:46:20Z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2023-03-22T14:46:28Z</dcterms:created>
  <dcterms:modified xsi:type="dcterms:W3CDTF">2023-03-22T06:46:28Z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2023-03-22T14:46:29Z</dcterms:created>
  <dcterms:modified xsi:type="dcterms:W3CDTF">2023-03-22T06:46:29Z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2023-03-22T14:46:29Z</dcterms:created>
  <dcterms:modified xsi:type="dcterms:W3CDTF">2023-03-22T06:46:29Z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2023-03-22T14:46:29Z</dcterms:created>
  <dcterms:modified xsi:type="dcterms:W3CDTF">2023-03-22T06:46:29Z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2023-03-22T14:46:20Z</dcterms:created>
  <dcterms:modified xsi:type="dcterms:W3CDTF">2023-03-22T06:46:20Z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2023-03-22T14:46:29Z</dcterms:created>
  <dcterms:modified xsi:type="dcterms:W3CDTF">2023-03-22T06:46:29Z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2023-03-22T14:46:29Z</dcterms:created>
  <dcterms:modified xsi:type="dcterms:W3CDTF">2023-03-22T06:46:29Z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2023-03-22T14:46:30Z</dcterms:created>
  <dcterms:modified xsi:type="dcterms:W3CDTF">2023-03-22T06:46:30Z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2023-03-22T14:46:30Z</dcterms:created>
  <dcterms:modified xsi:type="dcterms:W3CDTF">2023-03-22T06:46:30Z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2023-03-22T14:46:33Z</dcterms:created>
  <dcterms:modified xsi:type="dcterms:W3CDTF">2023-03-22T06:46:33Z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2023-03-22T14:46:20Z</dcterms:created>
  <dcterms:modified xsi:type="dcterms:W3CDTF">2023-03-22T06:46:20Z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2023-03-22T14:46:33Z</dcterms:created>
  <dcterms:modified xsi:type="dcterms:W3CDTF">2023-03-22T06:46:33Z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2023-03-22T14:46:20Z</dcterms:created>
  <dcterms:modified xsi:type="dcterms:W3CDTF">2023-03-22T06:46:20Z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2023-03-22T14:46:18Z</dcterms:created>
  <dcterms:modified xsi:type="dcterms:W3CDTF">2023-03-22T06:46:18Z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2023-03-22T14:46:21Z</dcterms:created>
  <dcterms:modified xsi:type="dcterms:W3CDTF">2023-03-22T06:46:21Z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2023-03-22T14:46:23Z</dcterms:created>
  <dcterms:modified xsi:type="dcterms:W3CDTF">2023-03-22T06:46:23Z</dcterms:modified>
</cp:coreProperties>
</file>

<file path=customXml/itemProps1.xml><?xml version="1.0" encoding="utf-8"?>
<ds:datastoreItem xmlns:ds="http://schemas.openxmlformats.org/officeDocument/2006/customXml" ds:itemID="{ac87e494-79ee-490b-8146-db92a8294f41}">
  <ds:schemaRefs/>
</ds:datastoreItem>
</file>

<file path=customXml/itemProps10.xml><?xml version="1.0" encoding="utf-8"?>
<ds:datastoreItem xmlns:ds="http://schemas.openxmlformats.org/officeDocument/2006/customXml" ds:itemID="{245b9a27-7565-4250-8d57-646b124a5a93}">
  <ds:schemaRefs/>
</ds:datastoreItem>
</file>

<file path=customXml/itemProps11.xml><?xml version="1.0" encoding="utf-8"?>
<ds:datastoreItem xmlns:ds="http://schemas.openxmlformats.org/officeDocument/2006/customXml" ds:itemID="{81f13c5a-88d6-4ec3-ac4b-7e379ad39bba}">
  <ds:schemaRefs/>
</ds:datastoreItem>
</file>

<file path=customXml/itemProps12.xml><?xml version="1.0" encoding="utf-8"?>
<ds:datastoreItem xmlns:ds="http://schemas.openxmlformats.org/officeDocument/2006/customXml" ds:itemID="{344a5305-9234-4728-9a1e-775c90fef013}">
  <ds:schemaRefs/>
</ds:datastoreItem>
</file>

<file path=customXml/itemProps13.xml><?xml version="1.0" encoding="utf-8"?>
<ds:datastoreItem xmlns:ds="http://schemas.openxmlformats.org/officeDocument/2006/customXml" ds:itemID="{de0c5504-68ff-41c8-87e4-4974687ed45f}">
  <ds:schemaRefs/>
</ds:datastoreItem>
</file>

<file path=customXml/itemProps14.xml><?xml version="1.0" encoding="utf-8"?>
<ds:datastoreItem xmlns:ds="http://schemas.openxmlformats.org/officeDocument/2006/customXml" ds:itemID="{0be59bdc-b3fb-4d4c-b48d-dfcdb66f576e}">
  <ds:schemaRefs/>
</ds:datastoreItem>
</file>

<file path=customXml/itemProps15.xml><?xml version="1.0" encoding="utf-8"?>
<ds:datastoreItem xmlns:ds="http://schemas.openxmlformats.org/officeDocument/2006/customXml" ds:itemID="{ee620772-58d5-4ea7-9c41-5b5bd32c6a90}">
  <ds:schemaRefs/>
</ds:datastoreItem>
</file>

<file path=customXml/itemProps16.xml><?xml version="1.0" encoding="utf-8"?>
<ds:datastoreItem xmlns:ds="http://schemas.openxmlformats.org/officeDocument/2006/customXml" ds:itemID="{f6197279-87f7-47e3-ae0d-ec367c89ed23}">
  <ds:schemaRefs/>
</ds:datastoreItem>
</file>

<file path=customXml/itemProps17.xml><?xml version="1.0" encoding="utf-8"?>
<ds:datastoreItem xmlns:ds="http://schemas.openxmlformats.org/officeDocument/2006/customXml" ds:itemID="{dc0985f5-b30f-4985-9a8c-bef9f85daa80}">
  <ds:schemaRefs/>
</ds:datastoreItem>
</file>

<file path=customXml/itemProps18.xml><?xml version="1.0" encoding="utf-8"?>
<ds:datastoreItem xmlns:ds="http://schemas.openxmlformats.org/officeDocument/2006/customXml" ds:itemID="{e0ef28d0-eff1-4149-a1a7-8d362ef287ee}">
  <ds:schemaRefs/>
</ds:datastoreItem>
</file>

<file path=customXml/itemProps19.xml><?xml version="1.0" encoding="utf-8"?>
<ds:datastoreItem xmlns:ds="http://schemas.openxmlformats.org/officeDocument/2006/customXml" ds:itemID="{986a7d44-95b6-4576-8f98-31add12d3f18}">
  <ds:schemaRefs/>
</ds:datastoreItem>
</file>

<file path=customXml/itemProps2.xml><?xml version="1.0" encoding="utf-8"?>
<ds:datastoreItem xmlns:ds="http://schemas.openxmlformats.org/officeDocument/2006/customXml" ds:itemID="{e1807e1f-f1ce-4bda-9b33-ad8add286fff}">
  <ds:schemaRefs/>
</ds:datastoreItem>
</file>

<file path=customXml/itemProps20.xml><?xml version="1.0" encoding="utf-8"?>
<ds:datastoreItem xmlns:ds="http://schemas.openxmlformats.org/officeDocument/2006/customXml" ds:itemID="{4fbb24f2-7fdf-4b36-bfbb-8752397167a2}">
  <ds:schemaRefs/>
</ds:datastoreItem>
</file>

<file path=customXml/itemProps21.xml><?xml version="1.0" encoding="utf-8"?>
<ds:datastoreItem xmlns:ds="http://schemas.openxmlformats.org/officeDocument/2006/customXml" ds:itemID="{b4207db5-fbf8-4db4-b2d3-3332d9d962e7}">
  <ds:schemaRefs/>
</ds:datastoreItem>
</file>

<file path=customXml/itemProps22.xml><?xml version="1.0" encoding="utf-8"?>
<ds:datastoreItem xmlns:ds="http://schemas.openxmlformats.org/officeDocument/2006/customXml" ds:itemID="{8f5206a3-906e-4110-be73-9368187d5ad4}">
  <ds:schemaRefs/>
</ds:datastoreItem>
</file>

<file path=customXml/itemProps23.xml><?xml version="1.0" encoding="utf-8"?>
<ds:datastoreItem xmlns:ds="http://schemas.openxmlformats.org/officeDocument/2006/customXml" ds:itemID="{9569b0db-dbcb-49c5-b235-e9dcb0c74213}">
  <ds:schemaRefs/>
</ds:datastoreItem>
</file>

<file path=customXml/itemProps24.xml><?xml version="1.0" encoding="utf-8"?>
<ds:datastoreItem xmlns:ds="http://schemas.openxmlformats.org/officeDocument/2006/customXml" ds:itemID="{5ad2be0c-0c64-46df-95eb-a63f8bdc03f9}">
  <ds:schemaRefs/>
</ds:datastoreItem>
</file>

<file path=customXml/itemProps25.xml><?xml version="1.0" encoding="utf-8"?>
<ds:datastoreItem xmlns:ds="http://schemas.openxmlformats.org/officeDocument/2006/customXml" ds:itemID="{e0415bc0-1ed7-4f9e-8aa9-f9c97a1e1a7d}">
  <ds:schemaRefs/>
</ds:datastoreItem>
</file>

<file path=customXml/itemProps26.xml><?xml version="1.0" encoding="utf-8"?>
<ds:datastoreItem xmlns:ds="http://schemas.openxmlformats.org/officeDocument/2006/customXml" ds:itemID="{3e12ed21-0188-4240-8c20-6b38c5f3d51d}">
  <ds:schemaRefs/>
</ds:datastoreItem>
</file>

<file path=customXml/itemProps27.xml><?xml version="1.0" encoding="utf-8"?>
<ds:datastoreItem xmlns:ds="http://schemas.openxmlformats.org/officeDocument/2006/customXml" ds:itemID="{0563f114-1119-4655-8434-c3a83e0cd096}">
  <ds:schemaRefs/>
</ds:datastoreItem>
</file>

<file path=customXml/itemProps28.xml><?xml version="1.0" encoding="utf-8"?>
<ds:datastoreItem xmlns:ds="http://schemas.openxmlformats.org/officeDocument/2006/customXml" ds:itemID="{009ae249-2d11-46ac-bbea-8c1f78125d27}">
  <ds:schemaRefs/>
</ds:datastoreItem>
</file>

<file path=customXml/itemProps29.xml><?xml version="1.0" encoding="utf-8"?>
<ds:datastoreItem xmlns:ds="http://schemas.openxmlformats.org/officeDocument/2006/customXml" ds:itemID="{3368666a-18e8-4c45-ad02-d26fa95a92bb}">
  <ds:schemaRefs/>
</ds:datastoreItem>
</file>

<file path=customXml/itemProps3.xml><?xml version="1.0" encoding="utf-8"?>
<ds:datastoreItem xmlns:ds="http://schemas.openxmlformats.org/officeDocument/2006/customXml" ds:itemID="{91876790-986f-4701-acf5-0cbd4eb30611}">
  <ds:schemaRefs/>
</ds:datastoreItem>
</file>

<file path=customXml/itemProps30.xml><?xml version="1.0" encoding="utf-8"?>
<ds:datastoreItem xmlns:ds="http://schemas.openxmlformats.org/officeDocument/2006/customXml" ds:itemID="{bf64e549-cf92-4fba-ae88-6d8f0ef64cb6}">
  <ds:schemaRefs/>
</ds:datastoreItem>
</file>

<file path=customXml/itemProps31.xml><?xml version="1.0" encoding="utf-8"?>
<ds:datastoreItem xmlns:ds="http://schemas.openxmlformats.org/officeDocument/2006/customXml" ds:itemID="{4c4b45cf-2f3f-40ee-aa77-e4163456ce13}">
  <ds:schemaRefs/>
</ds:datastoreItem>
</file>

<file path=customXml/itemProps32.xml><?xml version="1.0" encoding="utf-8"?>
<ds:datastoreItem xmlns:ds="http://schemas.openxmlformats.org/officeDocument/2006/customXml" ds:itemID="{bcebc1e7-be9b-4088-86c1-8d5e2a36a50e}">
  <ds:schemaRefs/>
</ds:datastoreItem>
</file>

<file path=customXml/itemProps33.xml><?xml version="1.0" encoding="utf-8"?>
<ds:datastoreItem xmlns:ds="http://schemas.openxmlformats.org/officeDocument/2006/customXml" ds:itemID="{8d1abbd8-db95-4e9e-ae1c-53f82f1f1f87}">
  <ds:schemaRefs/>
</ds:datastoreItem>
</file>

<file path=customXml/itemProps34.xml><?xml version="1.0" encoding="utf-8"?>
<ds:datastoreItem xmlns:ds="http://schemas.openxmlformats.org/officeDocument/2006/customXml" ds:itemID="{eb1a1279-93d1-4dda-a85e-7433d4aa6831}">
  <ds:schemaRefs/>
</ds:datastoreItem>
</file>

<file path=customXml/itemProps35.xml><?xml version="1.0" encoding="utf-8"?>
<ds:datastoreItem xmlns:ds="http://schemas.openxmlformats.org/officeDocument/2006/customXml" ds:itemID="{9dea0543-0e87-435f-b05d-7fa3fd5f8067}">
  <ds:schemaRefs/>
</ds:datastoreItem>
</file>

<file path=customXml/itemProps36.xml><?xml version="1.0" encoding="utf-8"?>
<ds:datastoreItem xmlns:ds="http://schemas.openxmlformats.org/officeDocument/2006/customXml" ds:itemID="{55401c83-d8ed-4620-90a8-ce39705624a7}">
  <ds:schemaRefs/>
</ds:datastoreItem>
</file>

<file path=customXml/itemProps37.xml><?xml version="1.0" encoding="utf-8"?>
<ds:datastoreItem xmlns:ds="http://schemas.openxmlformats.org/officeDocument/2006/customXml" ds:itemID="{20af5ae4-9a06-4411-850e-deb5e5e860ba}">
  <ds:schemaRefs/>
</ds:datastoreItem>
</file>

<file path=customXml/itemProps38.xml><?xml version="1.0" encoding="utf-8"?>
<ds:datastoreItem xmlns:ds="http://schemas.openxmlformats.org/officeDocument/2006/customXml" ds:itemID="{736a92dc-c717-4ea7-a56c-9a3786d7c9fa}">
  <ds:schemaRefs/>
</ds:datastoreItem>
</file>

<file path=customXml/itemProps39.xml><?xml version="1.0" encoding="utf-8"?>
<ds:datastoreItem xmlns:ds="http://schemas.openxmlformats.org/officeDocument/2006/customXml" ds:itemID="{7f42ec1b-895b-4af7-8664-fad200891566}">
  <ds:schemaRefs/>
</ds:datastoreItem>
</file>

<file path=customXml/itemProps4.xml><?xml version="1.0" encoding="utf-8"?>
<ds:datastoreItem xmlns:ds="http://schemas.openxmlformats.org/officeDocument/2006/customXml" ds:itemID="{85cd705f-0aa8-4e1b-a02b-f29fb11263de}">
  <ds:schemaRefs/>
</ds:datastoreItem>
</file>

<file path=customXml/itemProps40.xml><?xml version="1.0" encoding="utf-8"?>
<ds:datastoreItem xmlns:ds="http://schemas.openxmlformats.org/officeDocument/2006/customXml" ds:itemID="{11e7a166-580c-4094-bf93-096287b12f5d}">
  <ds:schemaRefs/>
</ds:datastoreItem>
</file>

<file path=customXml/itemProps41.xml><?xml version="1.0" encoding="utf-8"?>
<ds:datastoreItem xmlns:ds="http://schemas.openxmlformats.org/officeDocument/2006/customXml" ds:itemID="{632cd7ec-4498-4945-ac17-a149d4db0ea6}">
  <ds:schemaRefs/>
</ds:datastoreItem>
</file>

<file path=customXml/itemProps42.xml><?xml version="1.0" encoding="utf-8"?>
<ds:datastoreItem xmlns:ds="http://schemas.openxmlformats.org/officeDocument/2006/customXml" ds:itemID="{f144075b-1a1e-458c-9bed-366a1302caa6}">
  <ds:schemaRefs/>
</ds:datastoreItem>
</file>

<file path=customXml/itemProps5.xml><?xml version="1.0" encoding="utf-8"?>
<ds:datastoreItem xmlns:ds="http://schemas.openxmlformats.org/officeDocument/2006/customXml" ds:itemID="{dbece23e-246a-42a8-b512-83d28f92da9b}">
  <ds:schemaRefs/>
</ds:datastoreItem>
</file>

<file path=customXml/itemProps6.xml><?xml version="1.0" encoding="utf-8"?>
<ds:datastoreItem xmlns:ds="http://schemas.openxmlformats.org/officeDocument/2006/customXml" ds:itemID="{46517bc8-0723-4227-a654-730a07143ca7}">
  <ds:schemaRefs/>
</ds:datastoreItem>
</file>

<file path=customXml/itemProps7.xml><?xml version="1.0" encoding="utf-8"?>
<ds:datastoreItem xmlns:ds="http://schemas.openxmlformats.org/officeDocument/2006/customXml" ds:itemID="{205c904e-e3b0-4278-bb5b-422f514e75f1}">
  <ds:schemaRefs/>
</ds:datastoreItem>
</file>

<file path=customXml/itemProps8.xml><?xml version="1.0" encoding="utf-8"?>
<ds:datastoreItem xmlns:ds="http://schemas.openxmlformats.org/officeDocument/2006/customXml" ds:itemID="{fb3ac4fd-d333-4cd2-99ac-1ce55064629f}">
  <ds:schemaRefs/>
</ds:datastoreItem>
</file>

<file path=customXml/itemProps9.xml><?xml version="1.0" encoding="utf-8"?>
<ds:datastoreItem xmlns:ds="http://schemas.openxmlformats.org/officeDocument/2006/customXml" ds:itemID="{c74d6b62-a007-416f-8b39-a86414763a7c}">
  <ds:schemaRefs/>
</ds:datastoreItem>
</file>

<file path=docProps/app.xml><?xml version="1.0" encoding="utf-8"?>
<Properties xmlns="http://schemas.openxmlformats.org/officeDocument/2006/extended-properties" xmlns:vt="http://schemas.openxmlformats.org/officeDocument/2006/docPropsVTypes">
  <Pages>41</Pages>
  <Words>10045</Words>
  <Characters>11562</Characters>
  <TotalTime>10</TotalTime>
  <ScaleCrop>false</ScaleCrop>
  <LinksUpToDate>false</LinksUpToDate>
  <CharactersWithSpaces>11766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2023-03-22T14:46:00Z</dcterms:created>
  <dc:creator>Administrator</dc:creator>
  <cp:lastModifiedBy>Forever</cp:lastModifiedBy>
  <dcterms:modified xsi:type="dcterms:W3CDTF">2024-08-21T03:02:48Z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1C76964118E0455EA9B821503192F6E3</vt:lpwstr>
  </property>
</Properties>
</file>