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highlight w:val="none"/>
        </w:rPr>
      </w:pPr>
      <w:r>
        <w:rPr>
          <w:rFonts w:ascii="宋体" w:hAnsi="宋体"/>
          <w:kern w:val="0"/>
          <w:sz w:val="32"/>
          <w:szCs w:val="32"/>
          <w:highlight w:val="none"/>
        </w:rPr>
        <mc:AlternateContent>
          <mc:Choice Requires="wps">
            <w:drawing>
              <wp:inline distT="0" distB="0" distL="0" distR="0">
                <wp:extent cx="5316220" cy="914400"/>
                <wp:effectExtent l="0" t="0" r="0" b="0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79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唐山市路南区2023年国民经济和社会发展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napToGrid w:val="0"/>
                                <w:kern w:val="0"/>
                                <w:sz w:val="44"/>
                                <w:szCs w:val="44"/>
                              </w:rPr>
                              <w:t>统 计 公 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72pt;width:418.6pt;" fillcolor="#FF99CC" filled="t" stroked="f" coordsize="21600,21600" o:gfxdata="UEsDBAoAAAAAAIdO4kAAAAAAAAAAAAAAAAAEAAAAZHJzL1BLAwQUAAAACACHTuJASBFZx9QAAAAF&#10;AQAADwAAAGRycy9kb3ducmV2LnhtbE2PzU7DMBCE70i8g7VIXBC1WypShTiVQCo/xxYeYGtv44h4&#10;HcVua94ewwUuI61mNPNts85+ECeaYh9Yw3ymQBCbYHvuNHy8b25XIGJCtjgEJg1fFGHdXl40WNtw&#10;5i2ddqkTpYRjjRpcSmMtZTSOPMZZGImLdwiTx1TOqZN2wnMp94NcKHUvPfZcFhyO9OTIfO6OXsPh&#10;5lFtcn6tqtG8vDk02T2HrPX11Vw9gEiU018YfvALOrSFaR+ObKMYNJRH0q8Wb3VXLUDsS2i5VCDb&#10;Rv6nb78BUEsDBBQAAAAIAIdO4kDK33FpHQIAAD4EAAAOAAAAZHJzL2Uyb0RvYy54bWytU8Fu2zAM&#10;vQ/YPwi6L46ztF2MOEWXIMOArhvQ7gNkWY6FyaJGKbGzrx8lp2nQXXrYRZBE6vG9R2p5O3SGHRR6&#10;Dbbk+WTKmbISam13Jf/5tP3wiTMfhK2FAatKflSe367ev1v2rlAzaMHUChmBWF/0ruRtCK7IMi9b&#10;1Qk/AacsBRvATgQ64i6rUfSE3plsNp1eZz1g7RCk8p5uN2OQnxDxLYDQNFqqDch9p2wYUVEZEUiS&#10;b7XzfJXYNo2S4XvTeBWYKTkpDWmlIrSv4pqtlqLYoXCtlicK4i0UXmnqhLZU9Ay1EUGwPep/oDot&#10;ETw0YSKhy0YhyRFSkU9fefPYCqeSFrLau7Pp/v/ByofDD2S6LvmMMys6aviTGgL7DAPLkz298wVl&#10;PTrKCwPd09Akqd7dg/zlmYV1K+xO3SFC3ypRE708GptdPI0N8YWPIFX/DWqqI/YBEtDQYBe9IzcY&#10;oVNrjufWRC6SLq8+5tezmwVnkmKLfD6fJnKZKJ5fO/Thi4KOxU3JkVqf0MXh3ofIRhTPKbGYB6Pr&#10;rTYmHXBXrQ2yg6Ax2W4Xi/U6CXiVZmxMthCfjYjxJsmMykaNYagGCka5FdRHEowwjh19Otq0gH84&#10;62nkSu5/7wUqzsxXS6YlWTSj6TC/upmRE3gZqS4jwkqCKnngbNyuwzjXe4d611KlsU0W7sjoRicP&#10;XlideNNYJWtOXyDO7eU5Zb18+9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BFZx9QAAAAFAQAA&#10;DwAAAAAAAAABACAAAAAiAAAAZHJzL2Rvd25yZXYueG1sUEsBAhQAFAAAAAgAh07iQMrfcWkdAgAA&#10;PgQAAA4AAAAAAAAAAQAgAAAAIw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napToGrid w:val="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napToGrid w:val="0"/>
                          <w:kern w:val="0"/>
                          <w:sz w:val="44"/>
                          <w:szCs w:val="44"/>
                        </w:rPr>
                        <w:t>唐山市路南区2023年国民经济和社会发展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napToGrid w:val="0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napToGrid w:val="0"/>
                          <w:kern w:val="0"/>
                          <w:sz w:val="44"/>
                          <w:szCs w:val="44"/>
                        </w:rPr>
                        <w:t>统 计 公 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2023年，全区在区委、区政府领导下，坚持以习近平新时代中国特色社会主义思想为指导，完整、准确、全面贯彻新发展理念，牢牢把握高质量发展首要任务和构建新发展格局战略任务，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全区经济稳中求进，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新动能发展态势良好，高质量发展步伐坚实稳固，民生保障持续增强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，各项社会事业加快发展。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一、综合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初步核算，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全区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生产总值实现351.6亿元，比上年增长6.8%。其中，第一产业增加值2.1亿元，增长3.4%；第二产业增加值146.0亿元，增长8.2%；第三产业增加值203.5亿元，增长5.9%。三次产业比例为0.6∶41.5∶57.9。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图1　2019～2023年全区生产总值及增长速度（亿元、%）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drawing>
          <wp:inline distT="0" distB="0" distL="114300" distR="114300">
            <wp:extent cx="4872355" cy="2565400"/>
            <wp:effectExtent l="4445" t="5080" r="19050" b="20320"/>
            <wp:docPr id="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表1　2023年全区生产总值</w:t>
      </w:r>
    </w:p>
    <w:tbl>
      <w:tblPr>
        <w:tblStyle w:val="7"/>
        <w:tblW w:w="8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740"/>
        <w:gridCol w:w="1140"/>
        <w:gridCol w:w="129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058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74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绝对数</w:t>
            </w:r>
          </w:p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14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比上年增长%</w:t>
            </w:r>
          </w:p>
        </w:tc>
        <w:tc>
          <w:tcPr>
            <w:tcW w:w="129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增   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贡献率%</w:t>
            </w:r>
          </w:p>
        </w:tc>
        <w:tc>
          <w:tcPr>
            <w:tcW w:w="1185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比重%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058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地区生产总值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3515863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6.8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100.0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第一产业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20773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3.4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0.4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第二产业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1460079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8.2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49.3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第三产业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2035011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5.9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50.3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按行业分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农、林、牧、渔业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20795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3.4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0.4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#农林牧渔专业及辅助性活动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jc w:val="right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工业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1080472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5.7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24.0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#金属制品、机械和设备修理业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3401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-13.6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-0.3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建筑业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383008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13.8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25.0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批发和零售业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520226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8.7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19.9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交通运输仓储和邮政业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246526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5.6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5.6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住宿和餐饮业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71694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20.6 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金融业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160969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7.7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4.7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房地产业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230482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-1.6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-1.7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58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其他服务业</w:t>
            </w:r>
          </w:p>
        </w:tc>
        <w:tc>
          <w:tcPr>
            <w:tcW w:w="17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801691</w:t>
            </w:r>
          </w:p>
        </w:tc>
        <w:tc>
          <w:tcPr>
            <w:tcW w:w="114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12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16.6 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注：农林牧渔专业及辅助性活动与金属制品、机械和设备修理业属于第三产业</w:t>
            </w:r>
          </w:p>
        </w:tc>
      </w:tr>
    </w:tbl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年末全区常住人口33.66万人，比上年末增加0.06万人。常住人口城镇化率为94.88%，比上年末提高0.7个百分点。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图2　2019～2023年年末全区常住总人口（万人）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ascii="方正仿宋简体" w:hAnsi="方正仿宋简体" w:eastAsia="方正仿宋简体" w:cs="方正仿宋简体"/>
          <w:kern w:val="0"/>
          <w:sz w:val="32"/>
          <w:szCs w:val="32"/>
        </w:rPr>
        <w:drawing>
          <wp:inline distT="0" distB="0" distL="114300" distR="114300">
            <wp:extent cx="4572000" cy="2743200"/>
            <wp:effectExtent l="4445" t="4445" r="14605" b="1460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表2　2023年年末全区人口数及构成</w:t>
      </w:r>
    </w:p>
    <w:tbl>
      <w:tblPr>
        <w:tblStyle w:val="7"/>
        <w:tblW w:w="86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2475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7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4684D3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47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4684D3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年末人数（万人）</w:t>
            </w:r>
          </w:p>
        </w:tc>
        <w:tc>
          <w:tcPr>
            <w:tcW w:w="247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4684D3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BFD5F0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全区常住人口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BFD5F0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33.66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BFD5F0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F2F2F2"/>
            <w:noWrap/>
            <w:vAlign w:val="center"/>
          </w:tcPr>
          <w:p>
            <w:pPr>
              <w:widowControl/>
              <w:ind w:firstLine="480" w:firstLineChars="20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其中：城镇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F2F2F2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31.93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F2F2F2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DDEBF7" w:fill="BFD5F0"/>
            <w:noWrap/>
            <w:vAlign w:val="center"/>
          </w:tcPr>
          <w:p>
            <w:pPr>
              <w:widowControl/>
              <w:ind w:firstLine="1200" w:firstLineChars="50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乡村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BFD5F0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1.73</w:t>
            </w:r>
          </w:p>
        </w:tc>
        <w:tc>
          <w:tcPr>
            <w:tcW w:w="0" w:type="auto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5B9BD5" w:fill="BFD5F0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5.14</w:t>
            </w:r>
          </w:p>
        </w:tc>
      </w:tr>
    </w:tbl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新产业新业态新模式加速成长。高新技术产业增加值增长32%，占规模以上工业增加值比重为3.3%。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实物商品网上零售额1.5亿元，增长270.1%，占社会消费品零售总额比重为0.7%。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民营经济增加值162.0亿元，比上年增长10%，占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全区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生产总值比重为46.1%。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二、农业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全年粮食播种面积2713.9公顷，较上年增加40.9公顷，同比增长1.5%。粮食总产量1.7万吨，比上年增长2.1%。其中，夏粮产量0.7万吨，增长1.2%；秋粮产量1万吨，增长2.9%。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图3　2019～2023年全区粮食总产量（吨）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drawing>
          <wp:inline distT="0" distB="0" distL="114300" distR="114300">
            <wp:extent cx="4826000" cy="2743200"/>
            <wp:effectExtent l="4445" t="4445" r="8255" b="1460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油料播种面积389.7公顷，比上年下降5.2%，总产量1430.5吨，下降7.3%。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蔬菜播种面积676.7公顷，比上年增长1.4%，总产量3.5万吨，下降0.5%。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园林水果产量60吨，比上年增长4%。食用坚果产量3吨，比上年增长12.6%。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猪牛羊禽肉产量2920.7吨，增长0.5%。其中，猪肉产量2414.3吨，增长1.2%；牛肉产量223.5吨，下降18.6%；羊肉产量38吨，下降5.7%；禽肉产量244.9吨，增长19%。禽蛋产量858.9吨，下降1.9%；牛奶产量5634.5吨，下降3.7%。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三、工业和建筑业</w:t>
      </w:r>
    </w:p>
    <w:p>
      <w:pPr>
        <w:spacing w:line="360" w:lineRule="auto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全部工业增加值108.0亿元，比上年增长5.7%。其中，规模以上工业增加值增长9.7%。</w:t>
      </w:r>
    </w:p>
    <w:p>
      <w:pPr>
        <w:spacing w:line="360" w:lineRule="auto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行业大类看，采矿业增加值同比下降46.7%，制造业增加值同比增长290.0%；从主要产品产量看，木质家具产量同比增长7.2%，冷轧薄板产量同比增长267.3%，起重机产量同比下降4.4%，耐火材料产量同比下降60.1%，电力电缆产量同比降低48.9%，商品混凝土产量同比下降47.4%，钢结构产量同比下降100%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表3  2023年全区主要工业产品产量及增长速度</w:t>
      </w:r>
    </w:p>
    <w:tbl>
      <w:tblPr>
        <w:tblStyle w:val="7"/>
        <w:tblW w:w="77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185"/>
        <w:gridCol w:w="1455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04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185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55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产量</w:t>
            </w:r>
          </w:p>
        </w:tc>
        <w:tc>
          <w:tcPr>
            <w:tcW w:w="159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比上年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04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5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电力电缆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千米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843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饲料◇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6100.0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耐火材料制品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8237.7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-60.1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金属冶炼设备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5474.0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商品混凝土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立方米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213495.45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高压开关板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面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低压开关板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面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3930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冷冻蔬菜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4767.93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起重机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6858.67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钢结构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-100.0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钢材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1468825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312.6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焊接钢管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465936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电焊机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-30.7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家具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199464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金属轧制设备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1037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冷轧薄板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677697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267.3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镀层板（带）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325192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89.7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用外购钢材再加工生产钢材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1002889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181.7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504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环境污染防治专用设备</w:t>
            </w:r>
          </w:p>
        </w:tc>
        <w:tc>
          <w:tcPr>
            <w:tcW w:w="118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台（套）</w:t>
            </w:r>
          </w:p>
        </w:tc>
        <w:tc>
          <w:tcPr>
            <w:tcW w:w="145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-76.9 </w:t>
            </w:r>
          </w:p>
        </w:tc>
      </w:tr>
    </w:tbl>
    <w:p>
      <w:pPr>
        <w:widowControl/>
        <w:spacing w:before="120" w:after="120" w:line="405" w:lineRule="atLeast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规模以上工业企业实现利润总额31.5亿元，比上年下降34.4%。分门类看，采矿业实现利润总额30.8亿元，下降36%；制造业实现利润总额0.58亿元，增长4885.9%；电力、热力、燃气及水生产和供应业实现利润总额0.11亿元，下降214.3%。</w:t>
      </w:r>
    </w:p>
    <w:p>
      <w:pPr>
        <w:widowControl/>
        <w:spacing w:before="120" w:after="120" w:line="405" w:lineRule="atLeast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社会建筑业增加值38.3亿元，比上年增长13.8%。资质等级以上建筑业企业房屋施工面积217.74万平方米，同比增长4.4%；房屋竣工面积84.4万平方米，同比降低7.6%。具有资质等级总承包和专业承包建筑业企业利润0.4亿元，比上年降低56.6%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四、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服务业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批发和零售业增加值52.0亿元，比上年增长8.7%；交通运输、仓储和邮政业增加值24.7亿元，增长5.6%；住宿和餐饮业增加值7.2亿元，增长20.6%；金融业增加值16.1亿元，增长7.7%；房地产业增加值23.1亿元，下降1.6%；其他服务业增加值80.2亿元，增长5.1%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全年物流业增加值23.56亿元，增长4.6%。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全年规模以上服务业企业营业利润4.5亿元，比上年增长27.8%，营业收入65亿元，增长22.3%。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五、国内贸易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社会消费品零售总额实现201.8亿元，比上年增长8.9%。按消费类型统计，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其中商品零售额193.5亿元，比上年增长8.5%，餐饮收入8.3亿元，比上年增长19.3%。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图4  2019～2023年全区社会消费品零售总额（亿元）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drawing>
          <wp:inline distT="0" distB="0" distL="114300" distR="114300">
            <wp:extent cx="4904740" cy="2884170"/>
            <wp:effectExtent l="4445" t="4445" r="5715" b="698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在限额以上单位商品零售额中，日用品类增长21.7%，粮油食品类下降20%，饮料类下降22%，烟酒类下降24.2%，服装鞋帽针纺织品类下降0.7%，化妆品类下降23.5%，金银珠宝类增长25.1%，体育娱乐用品类增长97.9%，书报杂志类下降0.1%，家用电器和音像器材类增长74.8%，中西药品类下降49.2%，文化办公用品类下降9.1%，通讯器材类增长0.7%，石油及制品类下降4.8%，汽车类增长9.2%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六、固定资产投资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全社会固定资产投资比上年增长67.7%。其中，固定资产投资(不含农户)增长67.7%。</w:t>
      </w:r>
    </w:p>
    <w:p>
      <w:pPr>
        <w:widowControl/>
        <w:spacing w:before="120" w:after="120" w:line="405" w:lineRule="atLeast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在固定资产投资(不含农户)中，第一产业投资占比0.2%；第二产业投资降低19.6%；第三产业投资增长77.5%。工业技改投资降低36.4%，占工业投资比重为55.3%。基础设施投资增长120.7%，占固定资产投资（不含农户）比重为18.9%，比上年提高120个百分点。水利、环境和公共设施管理业投资增长132.2%，装备制造业投资下降41.9%，战略新兴产业投资增长60.7%，高新技术产业投资下降26.7%。民间固定资产投资增长117.9%，占固定资产投资（不含农户）比重为67%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表4　2023年全区分行业固定资产投资增长速度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2760"/>
      </w:tblGrid>
      <w:tr>
        <w:trPr>
          <w:trHeight w:val="8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比上年增长（%）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第一产业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第二产业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-19.6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#工业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-19.6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#工业技术改造投资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-36.4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采矿业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制造业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-36.4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电力、热力、燃气及水的生产和供应业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-95.1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第三产业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装备制造业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-41.9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交通运输、仓储和邮政业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水利、环境和公共设施管理业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民间投资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117.9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战略新兴产业投资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高新技术产业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-26.7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5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solid" w:color="C0C0C0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基础设施投资</w:t>
            </w:r>
          </w:p>
        </w:tc>
        <w:tc>
          <w:tcPr>
            <w:tcW w:w="276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  <w:tl2br w:val="nil"/>
              <w:tr2bl w:val="nil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120.7</w:t>
            </w:r>
          </w:p>
        </w:tc>
      </w:tr>
    </w:tbl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房地产开发投资比上年增长96.1%。其中，住宅投资增长96.4%，办公楼投资增长42.2%，商业营业用房投资增长116.5%。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七、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对外经济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全年实际使用外资201万美元。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全年外贸进出口总值完成28.1亿元，比上年增长43.2%；出口额完成22.3亿元，比上年增长39.3%；进口额完成5.7亿元，比上年增长60.9%。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八、财政金融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全年全部财政收入60.6亿元，比上年增长4.8%。一般公共预算收入26.9亿元，增长7%，其中，税收收入23.0亿元，增长1.5%。一般公共预算支出34.2亿元，比上年增长51.5%。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表5  2023年财政收入与支出</w:t>
      </w:r>
    </w:p>
    <w:tbl>
      <w:tblPr>
        <w:tblStyle w:val="7"/>
        <w:tblW w:w="68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1708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71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总量（万元）</w:t>
            </w:r>
          </w:p>
        </w:tc>
        <w:tc>
          <w:tcPr>
            <w:tcW w:w="1600" w:type="dxa"/>
            <w:vMerge w:val="restart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比上年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全部财政收入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606410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一般公共预算收入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269319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税收收入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230443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#增值税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90655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  <w:lang w:bidi="ar"/>
              </w:rPr>
              <w:t xml:space="preserve">      企业所得税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27006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  <w:lang w:bidi="ar"/>
              </w:rPr>
              <w:t xml:space="preserve">      个人所得税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6015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资源税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4665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-31.0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城市维护建设税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19557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城镇土地使用税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14710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非税收入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38876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中央级收入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245264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省级收入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91827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一般公共预算支出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341814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51.5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#一般公共服务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38497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公共安全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11826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-17.9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教育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59362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科学技术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6048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548.2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文化旅游体育与传媒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1050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-21.8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社会保障和就业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59514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卫生健康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23459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节能环保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2206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-31.0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城乡社区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18489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农林水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4654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-8.5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住房保障</w:t>
            </w:r>
          </w:p>
        </w:tc>
        <w:tc>
          <w:tcPr>
            <w:tcW w:w="171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109862 </w:t>
            </w:r>
          </w:p>
        </w:tc>
        <w:tc>
          <w:tcPr>
            <w:tcW w:w="1600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1256.0 </w:t>
            </w:r>
          </w:p>
        </w:tc>
      </w:tr>
    </w:tbl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九、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居民收入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  <w:t>2023年城镇居民人均可支配收入57947元，增长7.4%；城镇居民人均消费支出34459元，增长10.0%。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图5  2019～2023年全区城镇居民人均可支配收入及增速</w:t>
      </w:r>
    </w:p>
    <w:p>
      <w:pPr>
        <w:jc w:val="center"/>
        <w:rPr>
          <w:rFonts w:ascii="方正仿宋简体" w:hAnsi="方正仿宋简体" w:eastAsia="方正仿宋简体" w:cs="方正仿宋简体"/>
          <w:szCs w:val="24"/>
        </w:rPr>
      </w:pPr>
      <w:r>
        <w:rPr>
          <w:rFonts w:hint="eastAsia" w:ascii="方正仿宋简体" w:hAnsi="方正仿宋简体" w:eastAsia="方正仿宋简体" w:cs="方正仿宋简体"/>
          <w:szCs w:val="24"/>
        </w:rPr>
        <w:drawing>
          <wp:inline distT="0" distB="0" distL="114300" distR="114300">
            <wp:extent cx="4959350" cy="2687320"/>
            <wp:effectExtent l="4445" t="4445" r="8255" b="13335"/>
            <wp:docPr id="8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十、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教育、科技、文化、旅游和体育</w:t>
      </w:r>
    </w:p>
    <w:p>
      <w:pPr>
        <w:widowControl/>
        <w:ind w:firstLine="62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年末拥有高级中学1所，在校生0.108万人，比上年增长2.56%。初级中学8所，在校生1.01万人，比上年增长1.32%。小学2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所，在校生2.2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万人。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九年义务教育巩固率100%。幼儿园4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所，在园幼儿0.8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bidi="ar"/>
        </w:rPr>
        <w:t>万人。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年末拥有市级以上重点实验室、技术创新中心和产业技术研究院等科技研发平台2家。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年末拥有高新技术企业70家，其中本年新增31家；科技型中小企业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614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家，其中本年新增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家。技术合同成交总额18.46亿元。引进科技成果5项。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年末拥有影院4个，剧院3个，文化馆1个，公共图书馆1个。全年接待国内外游客</w:t>
      </w:r>
      <w:r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  <w:t>1367.87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万人次，比上年增长56.75%。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年末拥有体育场地64个，游泳池6个，公共体育健身器材272套，人均体育场地面积3.36平方米。成功举办30场大型赛事活动。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十一、社会保障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年末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全区城镇职工基本养老保险覆盖人数10.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63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人，增加0.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9万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bidi="ar"/>
        </w:rPr>
        <w:t>人。其中，参保职工8.63万人，参保离退休人员2.15万人。城乡居民养老保险覆盖人数3.30万人，减少0.49万人，其中农村居民参保人数2.8万人。失业保险覆盖人数5.13万人，增加0.26万人。工伤保险覆盖人数6.36万人，其中参加工伤保险农民工2.18万人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全年社会救助总人数103人，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发放城镇居民最低生活保障费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737.97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万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元，城镇居民最低生活保障人数8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；发放农村居民最低生活保障费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335.23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万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元，农村居民最低生活保障人数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488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全区有福利院2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，福利院床位数102张；老年公寓1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2所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，老年公寓床位数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910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张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。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十二、环境保护</w:t>
      </w:r>
    </w:p>
    <w:p>
      <w:pPr>
        <w:widowControl/>
        <w:spacing w:before="120" w:after="120" w:line="405" w:lineRule="atLeas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2023全年环境空气质量综合指数4.60，全市排名第9名，较上年全市排名上升4名。优良天数247天，全市排名第12名，较上年持平，细颗粒物(PM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vertAlign w:val="subscript"/>
        </w:rPr>
        <w:t>2.5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</w:rPr>
        <w:t>)年均浓度38微克/立方米，上升2.70%；全市排名第14名，较上年上升1名。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注释：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[1]本公报2023年数据为快报统计数据。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[2]部分数据由于四舍五入，存在分项合计与总计不等的情况。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[3]公报中地区生产总值、各产业增加值绝对量按当年价格计算，增长速度按2020年不变价格计算。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[4]房地产业投资除房地产开发投资外，还包括建设单位自建房屋以及物业管理、中介服务和其他房地产投资。</w:t>
      </w:r>
    </w:p>
    <w:p>
      <w:pPr>
        <w:widowControl/>
        <w:tabs>
          <w:tab w:val="left" w:pos="2410"/>
        </w:tabs>
        <w:spacing w:before="120" w:after="120" w:line="240" w:lineRule="atLeast"/>
        <w:ind w:firstLine="480" w:firstLineChars="200"/>
        <w:jc w:val="left"/>
        <w:rPr>
          <w:rFonts w:ascii="方正仿宋简体" w:hAnsi="方正仿宋简体" w:eastAsia="方正仿宋简体" w:cs="方正仿宋简体"/>
          <w:kern w:val="0"/>
          <w:sz w:val="24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32"/>
          <w:highlight w:val="none"/>
        </w:rPr>
        <w:t>[5]公报中部分数据来源于相关部门。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701" w:left="1531" w:header="851" w:footer="1418" w:gutter="0"/>
      <w:pgNumType w:start="1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楷体" w:hAnsi="楷体" w:eastAsia="楷体" w:cs="楷体"/>
        <w:sz w:val="24"/>
        <w:szCs w:val="24"/>
      </w:rPr>
    </w:pPr>
    <w:r>
      <w:rPr>
        <w:rFonts w:hint="eastAsia" w:ascii="楷体" w:hAnsi="楷体" w:eastAsia="楷体" w:cs="楷体"/>
        <w:sz w:val="24"/>
        <w:szCs w:val="24"/>
      </w:rPr>
      <w:t>附  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IzM2NkMjU0Yjk5ZDZlNGU4MjU2MmYwYjUyMDYifQ=="/>
    <w:docVar w:name="KSO_WPS_MARK_KEY" w:val="ebe86c6f-b408-4d34-a297-7f421adda685"/>
  </w:docVars>
  <w:rsids>
    <w:rsidRoot w:val="00560771"/>
    <w:rsid w:val="004D7F88"/>
    <w:rsid w:val="00560771"/>
    <w:rsid w:val="00B11AA6"/>
    <w:rsid w:val="00D11F3D"/>
    <w:rsid w:val="00F545E7"/>
    <w:rsid w:val="3F9D316A"/>
    <w:rsid w:val="4F984502"/>
    <w:rsid w:val="7D2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page number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15">
    <w:name w:val="批注主题 Char"/>
    <w:basedOn w:val="14"/>
    <w:link w:val="6"/>
    <w:semiHidden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hart" Target="charts/chart5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I:\&#32508;&#21512;\&#24180;&#37492;\&#36335;&#21335;&#21306;2023&#24180;&#37492;\2023&#24180;gdp&#2227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lenovo\Desktop\&#26222;&#26597;&#21333;&#20301;&#22522;&#26412;&#24773;&#20917;&#26816;&#26597;&#3492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lenovo\Desktop\&#26032;&#24314;%20XLSX%20&#24037;&#20316;&#3492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1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[2023年gdp图.xls]Sheet1!$B$2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[2023年gdp图.xls]Sheet1!$A$3:$A$7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[2023年gdp图.xls]Sheet1!$B$3:$B$7</c:f>
              <c:numCache>
                <c:formatCode>General</c:formatCode>
                <c:ptCount val="5"/>
                <c:pt idx="0">
                  <c:v>264.9</c:v>
                </c:pt>
                <c:pt idx="1">
                  <c:v>273.6</c:v>
                </c:pt>
                <c:pt idx="2">
                  <c:v>308.1</c:v>
                </c:pt>
                <c:pt idx="3">
                  <c:v>330.4</c:v>
                </c:pt>
                <c:pt idx="4">
                  <c:v>351.6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093952"/>
        <c:axId val="532128512"/>
      </c:barChart>
      <c:lineChart>
        <c:grouping val="standard"/>
        <c:varyColors val="0"/>
        <c:ser>
          <c:idx val="1"/>
          <c:order val="1"/>
          <c:tx>
            <c:strRef>
              <c:f>[2023年gdp图.xls]Sheet1!$C$2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.0169594712123848"/>
                  <c:y val="0.05983350676378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21777700469647"/>
                  <c:y val="0.04162330905306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95686206296747"/>
                  <c:y val="0.06243496357960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8731953383197"/>
                  <c:y val="0.02341311134235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21777700469647"/>
                  <c:y val="0.007804370447450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[2023年gdp图.xls]Sheet1!$A$3:$A$7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[2023年gdp图.xls]Sheet1!$C$3:$C$7</c:f>
              <c:numCache>
                <c:formatCode>0.0_ </c:formatCode>
                <c:ptCount val="5"/>
                <c:pt idx="0">
                  <c:v>8</c:v>
                </c:pt>
                <c:pt idx="1" c:formatCode="General">
                  <c:v>6.5</c:v>
                </c:pt>
                <c:pt idx="2">
                  <c:v>7</c:v>
                </c:pt>
                <c:pt idx="3">
                  <c:v>5</c:v>
                </c:pt>
                <c:pt idx="4" c:formatCode="General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32130048"/>
        <c:axId val="532131840"/>
      </c:lineChart>
      <c:catAx>
        <c:axId val="5320939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128512"/>
        <c:crosses val="autoZero"/>
        <c:auto val="1"/>
        <c:lblAlgn val="ctr"/>
        <c:lblOffset val="100"/>
        <c:noMultiLvlLbl val="0"/>
      </c:catAx>
      <c:valAx>
        <c:axId val="532128512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093952"/>
        <c:crosses val="autoZero"/>
        <c:crossBetween val="between"/>
      </c:valAx>
      <c:catAx>
        <c:axId val="53213004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32131840"/>
        <c:crosses val="autoZero"/>
        <c:auto val="1"/>
        <c:lblAlgn val="ctr"/>
        <c:lblOffset val="100"/>
        <c:noMultiLvlLbl val="0"/>
      </c:catAx>
      <c:valAx>
        <c:axId val="532131840"/>
        <c:scaling>
          <c:orientation val="minMax"/>
          <c:max val="20"/>
          <c:min val="0"/>
        </c:scaling>
        <c:delete val="0"/>
        <c:axPos val="r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numFmt formatCode="0.0_ " sourceLinked="1"/>
        <c:majorTickMark val="in"/>
        <c:minorTickMark val="none"/>
        <c:tickLblPos val="high"/>
        <c:spPr>
          <a:noFill/>
          <a:ln w="1270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13004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[普查单位基本情况检查表.xls]Sheet2!$B$3:$B$7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[普查单位基本情况检查表.xls]Sheet2!$C$3:$C$7</c:f>
              <c:numCache>
                <c:formatCode>General</c:formatCode>
                <c:ptCount val="5"/>
                <c:pt idx="0">
                  <c:v>31.96</c:v>
                </c:pt>
                <c:pt idx="1">
                  <c:v>33.42</c:v>
                </c:pt>
                <c:pt idx="2">
                  <c:v>33.57</c:v>
                </c:pt>
                <c:pt idx="3" c:formatCode="0.00_ ">
                  <c:v>33.6</c:v>
                </c:pt>
                <c:pt idx="4">
                  <c:v>33.66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2138624"/>
        <c:axId val="532145664"/>
      </c:barChart>
      <c:catAx>
        <c:axId val="5321386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145664"/>
        <c:crosses val="autoZero"/>
        <c:auto val="1"/>
        <c:lblAlgn val="ctr"/>
        <c:lblOffset val="100"/>
        <c:noMultiLvlLbl val="0"/>
      </c:catAx>
      <c:valAx>
        <c:axId val="53214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13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工作表.xlsx]Sheet2'!$B$6:$B$10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'[新建 XLSX 工作表.xlsx]Sheet2'!$C$6:$C$10</c:f>
              <c:numCache>
                <c:formatCode>0.0_ </c:formatCode>
                <c:ptCount val="5"/>
                <c:pt idx="0">
                  <c:v>16384.68</c:v>
                </c:pt>
                <c:pt idx="1">
                  <c:v>16405.22</c:v>
                </c:pt>
                <c:pt idx="2">
                  <c:v>16440.97</c:v>
                </c:pt>
                <c:pt idx="3">
                  <c:v>16651.77</c:v>
                </c:pt>
                <c:pt idx="4">
                  <c:v>17009.7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532205568"/>
        <c:axId val="532208256"/>
      </c:barChart>
      <c:catAx>
        <c:axId val="53220556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208256"/>
        <c:crosses val="autoZero"/>
        <c:auto val="1"/>
        <c:lblAlgn val="ctr"/>
        <c:lblOffset val="100"/>
        <c:noMultiLvlLbl val="0"/>
      </c:catAx>
      <c:valAx>
        <c:axId val="53220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0.0_ 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20556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177.5</c:v>
                </c:pt>
                <c:pt idx="1">
                  <c:v>169.6</c:v>
                </c:pt>
                <c:pt idx="2">
                  <c:v>181.1</c:v>
                </c:pt>
                <c:pt idx="3">
                  <c:v>185.4</c:v>
                </c:pt>
                <c:pt idx="4">
                  <c:v>201.8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532505728"/>
        <c:axId val="532672512"/>
      </c:barChart>
      <c:catAx>
        <c:axId val="5325057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672512"/>
        <c:crosses val="autoZero"/>
        <c:auto val="1"/>
        <c:lblAlgn val="ctr"/>
        <c:lblOffset val="100"/>
        <c:noMultiLvlLbl val="0"/>
      </c:catAx>
      <c:valAx>
        <c:axId val="53267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250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'[新建 XLS 工作表.xls]Sheet1'!$B$2</c:f>
              <c:strCache>
                <c:ptCount val="1"/>
                <c:pt idx="0">
                  <c:v>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'[新建 XLS 工作表.xls]Sheet1'!$B$3:$B$7</c:f>
              <c:numCache>
                <c:formatCode>General</c:formatCode>
                <c:ptCount val="5"/>
                <c:pt idx="0">
                  <c:v>46132</c:v>
                </c:pt>
                <c:pt idx="1">
                  <c:v>48254</c:v>
                </c:pt>
                <c:pt idx="2">
                  <c:v>51680</c:v>
                </c:pt>
                <c:pt idx="3">
                  <c:v>53954</c:v>
                </c:pt>
                <c:pt idx="4">
                  <c:v>57947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8456832"/>
        <c:axId val="538459520"/>
      </c:barChart>
      <c:lineChart>
        <c:grouping val="standard"/>
        <c:varyColors val="0"/>
        <c:ser>
          <c:idx val="1"/>
          <c:order val="1"/>
          <c:tx>
            <c:strRef>
              <c:f>'[新建 XLS 工作表.xls]Sheet1'!$C$2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'[新建 XLS 工作表.xls]Sheet1'!$C$3:$C$7</c:f>
              <c:numCache>
                <c:formatCode>General</c:formatCode>
                <c:ptCount val="5"/>
                <c:pt idx="0">
                  <c:v>9.1</c:v>
                </c:pt>
                <c:pt idx="1">
                  <c:v>4.6</c:v>
                </c:pt>
                <c:pt idx="2">
                  <c:v>7.1</c:v>
                </c:pt>
                <c:pt idx="3">
                  <c:v>4.4</c:v>
                </c:pt>
                <c:pt idx="4">
                  <c:v>7.4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538469504"/>
        <c:axId val="538471040"/>
      </c:lineChart>
      <c:catAx>
        <c:axId val="538456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459520"/>
        <c:crosses val="autoZero"/>
        <c:auto val="1"/>
        <c:lblAlgn val="ctr"/>
        <c:lblOffset val="100"/>
        <c:noMultiLvlLbl val="0"/>
      </c:catAx>
      <c:valAx>
        <c:axId val="538459520"/>
        <c:scaling>
          <c:orientation val="minMax"/>
          <c:max val="60000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456832"/>
        <c:crosses val="autoZero"/>
        <c:crossBetween val="between"/>
        <c:majorUnit val="10000"/>
      </c:valAx>
      <c:catAx>
        <c:axId val="53846950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38471040"/>
        <c:crosses val="autoZero"/>
        <c:auto val="1"/>
        <c:lblAlgn val="ctr"/>
        <c:lblOffset val="100"/>
        <c:noMultiLvlLbl val="0"/>
      </c:catAx>
      <c:valAx>
        <c:axId val="538471040"/>
        <c:scaling>
          <c:orientation val="minMax"/>
          <c:max val="20"/>
        </c:scaling>
        <c:delete val="0"/>
        <c:axPos val="r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numFmt formatCode="General" sourceLinked="1"/>
        <c:majorTickMark val="in"/>
        <c:minorTickMark val="none"/>
        <c:tickLblPos val="high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469504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2490</Words>
  <Characters>3444</Characters>
  <Lines>39</Lines>
  <Paragraphs>11</Paragraphs>
  <TotalTime>33</TotalTime>
  <ScaleCrop>false</ScaleCrop>
  <LinksUpToDate>false</LinksUpToDate>
  <CharactersWithSpaces>3538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2024-10-23T07:20:00Z</dcterms:created>
  <dc:creator>Lenovo</dc:creator>
  <cp:lastModifiedBy>WPS_1664259134</cp:lastModifiedBy>
  <dcterms:modified xsi:type="dcterms:W3CDTF">2024-10-28T08:54:15Z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F35F18AA9BC744C6A68CF1BD66D826A5_12</vt:lpwstr>
  </property>
</Properties>
</file>