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C15F">
      <w:r>
        <w:rPr>
          <w:color w:val="FF0000"/>
          <w:sz w:val="24"/>
        </w:rPr>
        <w:t>Evaluation Warning: The document was created with Spire.Doc for JAVA</w:t>
      </w:r>
    </w:p>
    <w:p w14:paraId="6A2C231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16B5D9D">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B47F2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BE78E95">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中国共产党唐山市路南区委员会机构编制委员会办公室</w:t>
      </w:r>
    </w:p>
    <w:p w14:paraId="037A9B5F">
      <w:pPr>
        <w:spacing w:before="0" w:after="0" w:line="240" w:lineRule="auto"/>
        <w:ind w:firstLine="0"/>
        <w:jc w:val="center"/>
        <w:outlineLvl w:val="9"/>
        <w:rPr>
          <w:rFonts w:hint="default" w:eastAsia="方正小标宋_GBK"/>
          <w:lang w:val="en-US" w:eastAsia="zh-CN"/>
        </w:rPr>
      </w:pPr>
      <w:r>
        <w:rPr>
          <w:rFonts w:ascii="方正小标宋_GBK" w:hAnsi="方正小标宋_GBK" w:eastAsia="方正小标宋_GBK" w:cs="方正小标宋_GBK"/>
          <w:color w:val="000000"/>
          <w:sz w:val="72"/>
        </w:rPr>
        <w:t>2025年部门预算绩效</w:t>
      </w:r>
      <w:bookmarkStart w:id="4" w:name="_GoBack"/>
      <w:bookmarkEnd w:id="4"/>
      <w:r>
        <w:rPr>
          <w:rFonts w:hint="eastAsia" w:ascii="方正小标宋_GBK" w:hAnsi="方正小标宋_GBK" w:eastAsia="方正小标宋_GBK" w:cs="方正小标宋_GBK"/>
          <w:color w:val="000000"/>
          <w:sz w:val="72"/>
          <w:lang w:val="en-US" w:eastAsia="zh-CN"/>
        </w:rPr>
        <w:t>文本</w:t>
      </w:r>
    </w:p>
    <w:p w14:paraId="31495DDA">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6284FE75">
      <w:pPr>
        <w:spacing w:before="0" w:after="0" w:line="240" w:lineRule="auto"/>
        <w:ind w:firstLine="0"/>
        <w:jc w:val="center"/>
        <w:outlineLvl w:val="9"/>
      </w:pPr>
      <w:r>
        <w:rPr>
          <w:rFonts w:ascii="宋体" w:hAnsi="宋体" w:eastAsia="宋体" w:cs="宋体"/>
          <w:color w:val="000000"/>
          <w:sz w:val="21"/>
        </w:rPr>
        <w:t xml:space="preserve"> </w:t>
      </w:r>
    </w:p>
    <w:p w14:paraId="24B2954F">
      <w:pPr>
        <w:spacing w:before="0" w:after="0" w:line="240" w:lineRule="auto"/>
        <w:ind w:firstLine="0"/>
        <w:jc w:val="center"/>
        <w:outlineLvl w:val="9"/>
      </w:pPr>
      <w:r>
        <w:rPr>
          <w:rFonts w:ascii="宋体" w:hAnsi="宋体" w:eastAsia="宋体" w:cs="宋体"/>
          <w:color w:val="000000"/>
          <w:sz w:val="21"/>
        </w:rPr>
        <w:t xml:space="preserve"> </w:t>
      </w:r>
    </w:p>
    <w:p w14:paraId="26F8C589">
      <w:pPr>
        <w:spacing w:before="0" w:after="0" w:line="240" w:lineRule="auto"/>
        <w:ind w:firstLine="0"/>
        <w:jc w:val="center"/>
        <w:outlineLvl w:val="9"/>
      </w:pPr>
      <w:r>
        <w:rPr>
          <w:rFonts w:ascii="宋体" w:hAnsi="宋体" w:eastAsia="宋体" w:cs="宋体"/>
          <w:color w:val="000000"/>
          <w:sz w:val="21"/>
        </w:rPr>
        <w:t xml:space="preserve"> </w:t>
      </w:r>
    </w:p>
    <w:p w14:paraId="5A062912">
      <w:pPr>
        <w:spacing w:before="0" w:after="0" w:line="240" w:lineRule="auto"/>
        <w:ind w:firstLine="0"/>
        <w:jc w:val="center"/>
        <w:outlineLvl w:val="9"/>
      </w:pPr>
      <w:r>
        <w:rPr>
          <w:rFonts w:ascii="宋体" w:hAnsi="宋体" w:eastAsia="宋体" w:cs="宋体"/>
          <w:color w:val="000000"/>
          <w:sz w:val="21"/>
        </w:rPr>
        <w:t xml:space="preserve"> </w:t>
      </w:r>
    </w:p>
    <w:p w14:paraId="4AF2BFC4">
      <w:pPr>
        <w:spacing w:before="0" w:after="0" w:line="240" w:lineRule="auto"/>
        <w:ind w:firstLine="0"/>
        <w:jc w:val="center"/>
        <w:outlineLvl w:val="9"/>
      </w:pPr>
      <w:r>
        <w:rPr>
          <w:rFonts w:ascii="宋体" w:hAnsi="宋体" w:eastAsia="宋体" w:cs="宋体"/>
          <w:color w:val="000000"/>
          <w:sz w:val="21"/>
        </w:rPr>
        <w:t xml:space="preserve"> </w:t>
      </w:r>
    </w:p>
    <w:p w14:paraId="5332A2ED">
      <w:pPr>
        <w:spacing w:before="0" w:after="0" w:line="240" w:lineRule="auto"/>
        <w:ind w:firstLine="0"/>
        <w:jc w:val="center"/>
        <w:outlineLvl w:val="9"/>
      </w:pPr>
      <w:r>
        <w:rPr>
          <w:rFonts w:ascii="宋体" w:hAnsi="宋体" w:eastAsia="宋体" w:cs="宋体"/>
          <w:color w:val="000000"/>
          <w:sz w:val="21"/>
        </w:rPr>
        <w:t xml:space="preserve"> </w:t>
      </w:r>
    </w:p>
    <w:p w14:paraId="2527F514">
      <w:pPr>
        <w:spacing w:before="0" w:after="0" w:line="240" w:lineRule="auto"/>
        <w:ind w:firstLine="0"/>
        <w:jc w:val="center"/>
        <w:outlineLvl w:val="9"/>
      </w:pPr>
      <w:r>
        <w:rPr>
          <w:rFonts w:ascii="宋体" w:hAnsi="宋体" w:eastAsia="宋体" w:cs="宋体"/>
          <w:color w:val="000000"/>
          <w:sz w:val="21"/>
        </w:rPr>
        <w:t xml:space="preserve"> </w:t>
      </w:r>
    </w:p>
    <w:p w14:paraId="2EFE4623">
      <w:pPr>
        <w:spacing w:before="0" w:after="0" w:line="240" w:lineRule="auto"/>
        <w:ind w:firstLine="0"/>
        <w:jc w:val="center"/>
        <w:outlineLvl w:val="9"/>
      </w:pPr>
      <w:r>
        <w:rPr>
          <w:rFonts w:ascii="宋体" w:hAnsi="宋体" w:eastAsia="宋体" w:cs="宋体"/>
          <w:color w:val="000000"/>
          <w:sz w:val="21"/>
        </w:rPr>
        <w:t xml:space="preserve"> </w:t>
      </w:r>
    </w:p>
    <w:p w14:paraId="4100F1F0">
      <w:pPr>
        <w:spacing w:before="0" w:after="0" w:line="240" w:lineRule="auto"/>
        <w:ind w:firstLine="0"/>
        <w:jc w:val="center"/>
        <w:outlineLvl w:val="9"/>
      </w:pPr>
      <w:r>
        <w:rPr>
          <w:rFonts w:ascii="宋体" w:hAnsi="宋体" w:eastAsia="宋体" w:cs="宋体"/>
          <w:color w:val="000000"/>
          <w:sz w:val="21"/>
        </w:rPr>
        <w:t xml:space="preserve"> </w:t>
      </w:r>
    </w:p>
    <w:p w14:paraId="57B470C8">
      <w:pPr>
        <w:spacing w:before="0" w:after="0" w:line="240" w:lineRule="auto"/>
        <w:ind w:firstLine="0"/>
        <w:jc w:val="center"/>
        <w:outlineLvl w:val="9"/>
      </w:pPr>
      <w:r>
        <w:rPr>
          <w:rFonts w:ascii="宋体" w:hAnsi="宋体" w:eastAsia="宋体" w:cs="宋体"/>
          <w:color w:val="000000"/>
          <w:sz w:val="21"/>
        </w:rPr>
        <w:t xml:space="preserve"> </w:t>
      </w:r>
    </w:p>
    <w:p w14:paraId="7A619135">
      <w:pPr>
        <w:spacing w:before="0" w:after="0" w:line="240" w:lineRule="auto"/>
        <w:ind w:firstLine="0"/>
        <w:jc w:val="center"/>
        <w:outlineLvl w:val="9"/>
      </w:pPr>
      <w:r>
        <w:rPr>
          <w:rFonts w:ascii="宋体" w:hAnsi="宋体" w:eastAsia="宋体" w:cs="宋体"/>
          <w:color w:val="000000"/>
          <w:sz w:val="21"/>
        </w:rPr>
        <w:t xml:space="preserve"> </w:t>
      </w:r>
    </w:p>
    <w:p w14:paraId="4EAC22DA">
      <w:pPr>
        <w:spacing w:before="0" w:after="0" w:line="240" w:lineRule="auto"/>
        <w:ind w:firstLine="0"/>
        <w:jc w:val="center"/>
        <w:outlineLvl w:val="9"/>
      </w:pPr>
      <w:r>
        <w:rPr>
          <w:rFonts w:ascii="宋体" w:hAnsi="宋体" w:eastAsia="宋体" w:cs="宋体"/>
          <w:color w:val="000000"/>
          <w:sz w:val="21"/>
        </w:rPr>
        <w:t xml:space="preserve"> </w:t>
      </w:r>
    </w:p>
    <w:p w14:paraId="1D6901DD">
      <w:pPr>
        <w:spacing w:before="0" w:after="0" w:line="240" w:lineRule="auto"/>
        <w:ind w:firstLine="0"/>
        <w:jc w:val="center"/>
        <w:outlineLvl w:val="9"/>
      </w:pPr>
      <w:r>
        <w:rPr>
          <w:rFonts w:ascii="宋体" w:hAnsi="宋体" w:eastAsia="宋体" w:cs="宋体"/>
          <w:color w:val="000000"/>
          <w:sz w:val="21"/>
        </w:rPr>
        <w:t xml:space="preserve"> </w:t>
      </w:r>
    </w:p>
    <w:p w14:paraId="5BAEED45">
      <w:pPr>
        <w:spacing w:before="0" w:after="0" w:line="240" w:lineRule="auto"/>
        <w:ind w:firstLine="0"/>
        <w:jc w:val="center"/>
        <w:outlineLvl w:val="9"/>
      </w:pPr>
      <w:r>
        <w:rPr>
          <w:rFonts w:ascii="宋体" w:hAnsi="宋体" w:eastAsia="宋体" w:cs="宋体"/>
          <w:color w:val="000000"/>
          <w:sz w:val="21"/>
        </w:rPr>
        <w:t xml:space="preserve"> </w:t>
      </w:r>
    </w:p>
    <w:p w14:paraId="721A82A1">
      <w:pPr>
        <w:spacing w:before="0" w:after="0" w:line="240" w:lineRule="auto"/>
        <w:ind w:firstLine="0"/>
        <w:jc w:val="center"/>
        <w:outlineLvl w:val="9"/>
      </w:pPr>
      <w:r>
        <w:rPr>
          <w:rFonts w:ascii="宋体" w:hAnsi="宋体" w:eastAsia="宋体" w:cs="宋体"/>
          <w:color w:val="000000"/>
          <w:sz w:val="21"/>
        </w:rPr>
        <w:t xml:space="preserve"> </w:t>
      </w:r>
    </w:p>
    <w:p w14:paraId="332593CF">
      <w:pPr>
        <w:spacing w:before="0" w:after="0" w:line="240" w:lineRule="auto"/>
        <w:ind w:firstLine="0"/>
        <w:jc w:val="center"/>
        <w:outlineLvl w:val="9"/>
      </w:pPr>
      <w:r>
        <w:rPr>
          <w:rFonts w:ascii="宋体" w:hAnsi="宋体" w:eastAsia="宋体" w:cs="宋体"/>
          <w:color w:val="000000"/>
          <w:sz w:val="21"/>
        </w:rPr>
        <w:t xml:space="preserve"> </w:t>
      </w:r>
    </w:p>
    <w:p w14:paraId="1AA54C9A">
      <w:pPr>
        <w:spacing w:before="0" w:after="0" w:line="240" w:lineRule="auto"/>
        <w:ind w:firstLine="0"/>
        <w:jc w:val="center"/>
        <w:outlineLvl w:val="9"/>
      </w:pPr>
      <w:r>
        <w:rPr>
          <w:rFonts w:ascii="宋体" w:hAnsi="宋体" w:eastAsia="宋体" w:cs="宋体"/>
          <w:color w:val="000000"/>
          <w:sz w:val="21"/>
        </w:rPr>
        <w:t xml:space="preserve"> </w:t>
      </w:r>
    </w:p>
    <w:p w14:paraId="263245E1">
      <w:pPr>
        <w:tabs>
          <w:tab w:val="center" w:pos="4758"/>
          <w:tab w:val="right" w:pos="9292"/>
        </w:tabs>
        <w:spacing w:before="0" w:after="0" w:line="240" w:lineRule="auto"/>
        <w:ind w:firstLine="0"/>
        <w:jc w:val="left"/>
        <w:outlineLvl w:val="9"/>
        <w:rPr>
          <w:rFonts w:hint="eastAsia" w:eastAsia="宋体"/>
          <w:lang w:eastAsia="zh-CN"/>
        </w:rPr>
      </w:pPr>
      <w:r>
        <w:rPr>
          <w:rFonts w:hint="eastAsia" w:ascii="宋体" w:hAnsi="宋体" w:eastAsia="宋体" w:cs="宋体"/>
          <w:color w:val="000000"/>
          <w:sz w:val="21"/>
          <w:lang w:eastAsia="zh-CN"/>
        </w:rPr>
        <w:tab/>
      </w:r>
      <w:r>
        <w:rPr>
          <w:rFonts w:ascii="宋体" w:hAnsi="宋体" w:eastAsia="宋体" w:cs="宋体"/>
          <w:color w:val="000000"/>
          <w:sz w:val="21"/>
        </w:rPr>
        <w:t xml:space="preserve"> </w:t>
      </w:r>
      <w:r>
        <w:rPr>
          <w:rFonts w:hint="eastAsia" w:ascii="宋体" w:hAnsi="宋体" w:eastAsia="宋体" w:cs="宋体"/>
          <w:color w:val="000000"/>
          <w:sz w:val="21"/>
          <w:lang w:eastAsia="zh-CN"/>
        </w:rPr>
        <w:tab/>
      </w:r>
    </w:p>
    <w:p w14:paraId="730210E5">
      <w:pPr>
        <w:spacing w:before="0" w:after="0" w:line="240" w:lineRule="auto"/>
        <w:ind w:firstLine="0"/>
        <w:jc w:val="center"/>
        <w:outlineLvl w:val="9"/>
      </w:pPr>
      <w:r>
        <w:rPr>
          <w:rFonts w:ascii="方正楷体_GBK" w:hAnsi="方正楷体_GBK" w:eastAsia="方正楷体_GBK" w:cs="方正楷体_GBK"/>
          <w:b/>
          <w:color w:val="000000"/>
          <w:sz w:val="32"/>
        </w:rPr>
        <w:t>中国共产党唐山市路南区委员会机构编制委员会办公室编制</w:t>
      </w:r>
    </w:p>
    <w:p w14:paraId="5FDCEAE6">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唐山市路南区财政局审核</w:t>
      </w:r>
    </w:p>
    <w:p w14:paraId="424B51FD">
      <w:pPr>
        <w:spacing w:before="0" w:after="0" w:line="240" w:lineRule="auto"/>
        <w:ind w:firstLine="0"/>
        <w:jc w:val="center"/>
        <w:outlineLvl w:val="9"/>
        <w:sectPr>
          <w:pgSz w:w="11900" w:h="16840"/>
          <w:pgMar w:top="1984" w:right="1304" w:bottom="1134" w:left="1304" w:header="720" w:footer="720" w:gutter="0"/>
          <w:cols w:space="720" w:num="1"/>
          <w:titlePg/>
        </w:sectPr>
      </w:pPr>
    </w:p>
    <w:p w14:paraId="7C76128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7AE8750">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2F2A9EE">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3F014AAE">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0683271">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682B398">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7D598DDB">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0941B355">
      <w:r>
        <w:fldChar w:fldCharType="end"/>
      </w:r>
    </w:p>
    <w:p w14:paraId="4DB94156">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C0A3279">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1.招商引资专项业务费绩效目标表</w:t>
      </w:r>
      <w:r>
        <w:tab/>
      </w:r>
      <w:r>
        <w:fldChar w:fldCharType="begin"/>
      </w:r>
      <w:r>
        <w:instrText xml:space="preserve">PAGEREF _Toc_4_4_0000000004 \h</w:instrText>
      </w:r>
      <w:r>
        <w:fldChar w:fldCharType="separate"/>
      </w:r>
      <w:r>
        <w:t>7</w:t>
      </w:r>
      <w:r>
        <w:fldChar w:fldCharType="end"/>
      </w:r>
      <w:r>
        <w:fldChar w:fldCharType="end"/>
      </w:r>
    </w:p>
    <w:p w14:paraId="5E28B335">
      <w:r>
        <w:fldChar w:fldCharType="end"/>
      </w:r>
    </w:p>
    <w:p w14:paraId="7E041FC6">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2BE75B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5DFA03">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EAFC573">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6E8C5F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EB04AE">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3D6BC77E">
      <w:pPr>
        <w:pStyle w:val="8"/>
      </w:pPr>
      <w:r>
        <w:t>1、稳步推进政府职能转变和机构改革工作。根据唐山市批复我区的政府职能和机构改革工作及区委、区政府安排，积极稳妥地抓好组织实施和推进落实。整合优化资源，探索研究开展体制改革，落实好相关体制划转、职责调整、机构编制核定等工作。</w:t>
      </w:r>
    </w:p>
    <w:p w14:paraId="6BBB8C62">
      <w:pPr>
        <w:pStyle w:val="8"/>
      </w:pPr>
      <w:r>
        <w:t>2、加强和改进机构编制管理与服务。一是切实守住机构编制总量，确保只减不增。落实区控编减编工作方案和事业编制消化整改计划。坚决落实中央关于本届政府任期内财政供养人员只减不增的要求，确保行政事业编制不突破中央核定下达的总额。二是继续严格控制财政供养人员编制总量。按照市编委《关于严格控制编制和人员的工作方案》（唐机编字[2014]23号）文件精神，努力完成消化超编人员任务。认真按照机构编制工作规定，严把机构编制关口，尤其是严格控制超编单位用编，对超编单位实行人员只出不进，只减不增的要求，通过到龄退休、人员调出、 自然减员等消化超编问题。三是进一步规范机构编制管理。对全区的机构编制实行动态管理，掌握好各单位人员变动情况，确保全区机关编制总数不超编。加大内部挖潜力度，在总量内调剂解决重点部位、重点地区以及加强基层和一线所需编制问题。按照中央和省关于政府购买服务的有关精神，进一步创新公共服务提供方式，原则上引入竞争机制，大力推进政府购买服务。四是加强机构编制部门自身建设，切实提高干部队伍综合素质，按照完善职能、健全机构、优化结构、提高素质的总体要求，以思想、组织和作风建设为重点，以创建“学习型、创新型、务实型”机关为载体，着力建设一支政治坚定、勤奋务实、开拓进取、公道正派的高素质机构编制干部队伍。</w:t>
      </w:r>
    </w:p>
    <w:p w14:paraId="571C501E">
      <w:pPr>
        <w:pStyle w:val="8"/>
      </w:pPr>
      <w:r>
        <w:t>3、稳步推进事业单位改革。按照政事分开、事企分开的原则，规范、发展、搞活事业单位。开展事业单位机构编 制规范管理工作，精心组织实施，及时总结经验。推进事业 单位分类管理改革，深化重点领域和关键环节的体制改革。加快公益性事业单位的发展步伐，为重点领域和关键环节的体制改革提供体制机制保障。推动建立各类事业单位统一登记管理制度，进一步完善事业单位网上登记管理。</w:t>
      </w:r>
    </w:p>
    <w:p w14:paraId="0DF9D5B4">
      <w:pPr>
        <w:pStyle w:val="8"/>
      </w:pPr>
      <w:r>
        <w:t>4、不断深化行政审批制度改革。一是创新行政审批体制机制。积极推进行政审批体制机制创新，规范优化行政审批服务。加强政务服务体系建设，推进政务服务标准化、信息化。严格落实“一个窗口”受理制度、受理单制度、办理时限承诺制度，规范行政审批行为。</w:t>
      </w:r>
    </w:p>
    <w:p w14:paraId="7DE24BF7">
      <w:pPr>
        <w:pStyle w:val="8"/>
      </w:pPr>
    </w:p>
    <w:p w14:paraId="44852B30">
      <w:pPr>
        <w:pStyle w:val="8"/>
      </w:pPr>
    </w:p>
    <w:p w14:paraId="64B9F6C3">
      <w:pPr>
        <w:pStyle w:val="8"/>
      </w:pPr>
    </w:p>
    <w:p w14:paraId="150015DC">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16D1506F">
      <w:pPr>
        <w:pStyle w:val="9"/>
      </w:pPr>
      <w:r>
        <w:t>1.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14:paraId="4CE13BD5">
      <w:pPr>
        <w:pStyle w:val="9"/>
      </w:pPr>
      <w:r>
        <w:t>一是推进区政府机构改革,党群政法部门体制改革,乡镇行政体制改革,功能园区管理体制机制改革。</w:t>
      </w:r>
    </w:p>
    <w:p w14:paraId="236B36B5">
      <w:pPr>
        <w:pStyle w:val="9"/>
      </w:pPr>
      <w:r>
        <w:t>二是扎实推进事业单位分类改革,扎实推进事业单位法人治理结构试点工作。</w:t>
      </w:r>
    </w:p>
    <w:p w14:paraId="3E1F81A9">
      <w:pPr>
        <w:pStyle w:val="9"/>
      </w:pPr>
      <w:r>
        <w:t>绩效目标：扎实推进事业单位分类改革,扎实推进事业单位法人治理结构试点工作。</w:t>
      </w:r>
    </w:p>
    <w:p w14:paraId="19A4BC57">
      <w:pPr>
        <w:pStyle w:val="9"/>
      </w:pPr>
      <w:r>
        <w:t>绩效指标：事业单位改革目标完成量占年度计划完成量的比例大于等于95%</w:t>
      </w:r>
    </w:p>
    <w:p w14:paraId="1C819A48">
      <w:pPr>
        <w:pStyle w:val="9"/>
      </w:pPr>
      <w:r>
        <w:t>2.审核或审批区委、区政府、各级党政、人大、政协法院、检察院机关，各民主党派、人民团体机关的机构编制管理事宜；负责全区事业单位法人登记管理和监督检查工作。</w:t>
      </w:r>
    </w:p>
    <w:p w14:paraId="1D91C666">
      <w:pPr>
        <w:pStyle w:val="9"/>
      </w:pPr>
      <w:r>
        <w:t>一是全面推行实名制管理和编制使用核准。</w:t>
      </w:r>
    </w:p>
    <w:p w14:paraId="0D66EEA0">
      <w:pPr>
        <w:pStyle w:val="9"/>
      </w:pPr>
      <w:r>
        <w:t>二是加强机构编制标准化管理。</w:t>
      </w:r>
    </w:p>
    <w:p w14:paraId="079C4ECD">
      <w:pPr>
        <w:pStyle w:val="9"/>
      </w:pPr>
      <w:r>
        <w:t>三是加强完善事业单位登记管理工作。</w:t>
      </w:r>
    </w:p>
    <w:p w14:paraId="784A164A">
      <w:pPr>
        <w:pStyle w:val="9"/>
      </w:pPr>
      <w:r>
        <w:t>绩效目标：加强机构编制标准化管理，确保完成全区年度机构编制统计上报工作。</w:t>
      </w:r>
    </w:p>
    <w:p w14:paraId="116A8A8F">
      <w:pPr>
        <w:pStyle w:val="9"/>
      </w:pPr>
      <w:r>
        <w:t>绩效指标：年度内已完成的机构编制统计上报工作数量占全区总量的比例大于等于95%</w:t>
      </w:r>
    </w:p>
    <w:p w14:paraId="43E971FF">
      <w:pPr>
        <w:pStyle w:val="9"/>
      </w:pPr>
      <w:r>
        <w:t>3.强化社会管理和公共服务。规范行政行为，加强行政执法部门建设，减少和规范行政审批。进一步优化行政审批流程,加强审改工作制度化、规范化和标准化建设。</w:t>
      </w:r>
    </w:p>
    <w:p w14:paraId="39AFB78E">
      <w:pPr>
        <w:pStyle w:val="9"/>
      </w:pPr>
      <w:r>
        <w:t>绩效目标：加快服务标准化信息化。</w:t>
      </w:r>
    </w:p>
    <w:p w14:paraId="12700746">
      <w:pPr>
        <w:pStyle w:val="9"/>
      </w:pPr>
      <w:r>
        <w:t>绩效指标：年度内完成行政审批工作的量大于等于95%。</w:t>
      </w:r>
    </w:p>
    <w:p w14:paraId="1C13773A">
      <w:pPr>
        <w:pStyle w:val="9"/>
      </w:pPr>
      <w:r>
        <w:t>4.加强机关党组织建设，严格组织生活制度，丰富党建活动内容，做好党员发展、教育、管理和党务干部的教育培训工作，充分发挥党组织的战斗堡垒作用和党员的先锋模范作用。</w:t>
      </w:r>
    </w:p>
    <w:p w14:paraId="1EA4222A">
      <w:pPr>
        <w:pStyle w:val="9"/>
      </w:pPr>
      <w:r>
        <w:t>一是机构编制信息平台运行。</w:t>
      </w:r>
    </w:p>
    <w:p w14:paraId="076591FC">
      <w:pPr>
        <w:pStyle w:val="9"/>
      </w:pPr>
      <w:r>
        <w:t>二是中文域名和网络挂标全覆盖。</w:t>
      </w:r>
    </w:p>
    <w:p w14:paraId="4D9F729E">
      <w:pPr>
        <w:pStyle w:val="9"/>
      </w:pPr>
      <w:r>
        <w:t>绩效目标：中文域名和网络挂标全覆盖。</w:t>
      </w:r>
    </w:p>
    <w:p w14:paraId="122A0385">
      <w:pPr>
        <w:pStyle w:val="9"/>
      </w:pPr>
      <w:r>
        <w:t>绩效指标：全区行政和事业大伟进行中文域名注册和网络挂标，注册率和挂标率达到比例大于等于95%。</w:t>
      </w:r>
    </w:p>
    <w:p w14:paraId="05730E6B">
      <w:pPr>
        <w:pStyle w:val="9"/>
      </w:pPr>
    </w:p>
    <w:p w14:paraId="454F4460">
      <w:pPr>
        <w:pStyle w:val="9"/>
      </w:pPr>
    </w:p>
    <w:p w14:paraId="58E01439">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3620F147">
      <w:pPr>
        <w:pStyle w:val="10"/>
      </w:pPr>
    </w:p>
    <w:p w14:paraId="1D5E4BAE">
      <w:pPr>
        <w:pStyle w:val="10"/>
      </w:pPr>
      <w:r>
        <w:t>1.审核管理区委、区政府各部门职能配置、机构设置、人员编制和领导职数；审核管理区各级各类人员编制总额；指导、协调各类功能园区体制改革和机构改革以及机构编制管理工作。</w:t>
      </w:r>
    </w:p>
    <w:p w14:paraId="7A4F07FC">
      <w:pPr>
        <w:pStyle w:val="10"/>
      </w:pPr>
      <w:r>
        <w:t>2.做好事业单位分类工作；做好已分类事业单位的改革工作；规范事业单位台账管理。</w:t>
      </w:r>
    </w:p>
    <w:p w14:paraId="2084F4C7">
      <w:pPr>
        <w:pStyle w:val="10"/>
      </w:pPr>
      <w:r>
        <w:t>3.开展机构编制实名制及人员编制使用情况核准，机构编制执行情况跟踪评估和监督检查工作；指导全区党政群机关、事业单位和其他非营利性单位网上名称管理工作。</w:t>
      </w:r>
    </w:p>
    <w:p w14:paraId="5B0A1FD9">
      <w:pPr>
        <w:pStyle w:val="10"/>
      </w:pPr>
      <w:r>
        <w:t>4.制定全区机关事业编制总量标准、机关事业单位具体机构编制标准。</w:t>
      </w:r>
    </w:p>
    <w:p w14:paraId="197AA25E">
      <w:pPr>
        <w:pStyle w:val="10"/>
      </w:pPr>
      <w:r>
        <w:t>5.负责全区事业单位法人登记管理和监督检查工作。</w:t>
      </w:r>
    </w:p>
    <w:p w14:paraId="65CD218A">
      <w:pPr>
        <w:pStyle w:val="10"/>
      </w:pPr>
      <w:r>
        <w:t>6.全面清理规范区本级行政审批项目。开展加强对区审改工作指导和培训。加强审改工作制度化、规范化和标准化建设</w:t>
      </w:r>
    </w:p>
    <w:p w14:paraId="43F6A369">
      <w:pPr>
        <w:pStyle w:val="10"/>
      </w:pPr>
      <w:r>
        <w:t>7.组织开展编制系统干部队伍学习培训活动，全面提高干部队伍素质。</w:t>
      </w:r>
    </w:p>
    <w:p w14:paraId="3ADDC78A">
      <w:pPr>
        <w:pStyle w:val="10"/>
      </w:pPr>
      <w:r>
        <w:t>8.督促全区党政群机关事业单位积极注册和正确使用中文域名，充分体现机关、事业单位网上名称的权威性、可信度和认知度，切实维护自身合法权益，促进依法履行职责，提高社会管理和公共服务水平，保障公众知情权、参与权和监督权。</w:t>
      </w:r>
    </w:p>
    <w:p w14:paraId="10B9FE3B">
      <w:pPr>
        <w:pStyle w:val="10"/>
      </w:pPr>
      <w:r>
        <w:t>9.负责全区机构编制信息管理系统、电子政务和机构编制网站的建设和管理，全区机构编制统计、数据分析工作。</w:t>
      </w:r>
    </w:p>
    <w:p w14:paraId="1130B3D2">
      <w:pPr>
        <w:pStyle w:val="10"/>
      </w:pPr>
      <w:r>
        <w:t>10.不断加强绩效管理，采取措施预做准备，控制偏差，保证绩效目标的实现。</w:t>
      </w:r>
    </w:p>
    <w:p w14:paraId="4B72EB3F">
      <w:pPr>
        <w:pStyle w:val="10"/>
      </w:pPr>
      <w:r>
        <w:t>一是完善制度建设。制定预算绩效管理制度、资金管理办法、工作保障制度，为全年预算绩效目标的实现奠定制度基础。</w:t>
      </w:r>
    </w:p>
    <w:p w14:paraId="491905D9">
      <w:pPr>
        <w:pStyle w:val="10"/>
      </w:pPr>
      <w:r>
        <w:t>二是加强支出管理。通过优化支出结构、编细编实预算、加快履行政府采购手续、尽快启动项目、及时支付资金、按规定及时下达资金等多种措施，确保支出进度达标。</w:t>
      </w:r>
    </w:p>
    <w:p w14:paraId="0533E79F">
      <w:pPr>
        <w:pStyle w:val="10"/>
      </w:pPr>
      <w:r>
        <w:t>三是加强绩效运行监控。按绩效预算管理要求开展绩效运行监控，发现问题及时采取措施，确保绩效目标如期保质实现。</w:t>
      </w:r>
    </w:p>
    <w:p w14:paraId="200F9D0E">
      <w:pPr>
        <w:pStyle w:val="10"/>
      </w:pPr>
      <w:r>
        <w:t>四是做好绩效自评。按要求开展上年度部门预算绩效自评和重点评价工作，对评价中发现的问题及时整改，调整优化支出结构，提高财政资金使用效益。</w:t>
      </w:r>
    </w:p>
    <w:p w14:paraId="1E143DF2">
      <w:pPr>
        <w:pStyle w:val="10"/>
      </w:pPr>
      <w:r>
        <w:t>五是规范财务资产管理。完善财务管理制度，严格审批程序，加强固定资产登记、使用和报废处置管理，做到支出合理，物尽其用。</w:t>
      </w:r>
    </w:p>
    <w:p w14:paraId="3DC2461E">
      <w:pPr>
        <w:pStyle w:val="10"/>
      </w:pPr>
      <w:r>
        <w:t>六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7A88BE5B">
      <w:pPr>
        <w:pStyle w:val="10"/>
      </w:pPr>
      <w:r>
        <w:t>七是加强宣传培训调研等。加强人员培训，提高职工业务素质；加强调研，提出优化财政资金配置、提高资金使用效益的意见；加大宣传力度，强化预算绩效管理意识，促进预算绩效管理水平进一步提升。</w:t>
      </w:r>
    </w:p>
    <w:p w14:paraId="7C110C2C">
      <w:pPr>
        <w:pStyle w:val="10"/>
      </w:pPr>
    </w:p>
    <w:p w14:paraId="7D7151B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C92BEF8">
      <w:r>
        <w:rPr>
          <w:color w:val="FF0000"/>
          <w:sz w:val="24"/>
        </w:rPr>
        <w:t>Evaluation Warning: The document was created with Spire.Doc for JAVA.</w:t>
      </w:r>
    </w:p>
    <w:p w14:paraId="7E95874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53211A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98CE90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D2745FD">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74498C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FAD7C2">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65785F8">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E7FDDCC">
      <w:r>
        <w:rPr>
          <w:color w:val="FF0000"/>
          <w:sz w:val="24"/>
        </w:rPr>
        <w:t>Evaluation Warning: The document was created with Spire.Doc for JAVA.</w:t>
      </w:r>
    </w:p>
    <w:p w14:paraId="62C770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529F58">
      <w:pPr>
        <w:spacing w:before="0" w:after="0"/>
        <w:ind w:firstLine="560"/>
        <w:jc w:val="left"/>
        <w:outlineLvl w:val="3"/>
      </w:pPr>
      <w:bookmarkStart w:id="3" w:name="_Toc_4_4_0000000004"/>
      <w:r>
        <w:rPr>
          <w:rFonts w:ascii="方正仿宋_GBK" w:hAnsi="方正仿宋_GBK" w:eastAsia="方正仿宋_GBK" w:cs="方正仿宋_GBK"/>
          <w:color w:val="000000"/>
          <w:sz w:val="28"/>
        </w:rPr>
        <w:t>1.招商引资专项业务费绩效目标表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2F9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D37D30">
            <w:pPr>
              <w:pStyle w:val="12"/>
            </w:pPr>
            <w:r>
              <w:t>225001中国共产党唐山市路南区委员会机构编制委员会办公室本级</w:t>
            </w:r>
          </w:p>
        </w:tc>
        <w:tc>
          <w:tcPr>
            <w:tcW w:w="1843" w:type="dxa"/>
            <w:tcBorders>
              <w:top w:val="single" w:color="FFFFFF" w:sz="6" w:space="0"/>
              <w:left w:val="single" w:color="FFFFFF" w:sz="6" w:space="0"/>
              <w:right w:val="single" w:color="FFFFFF" w:sz="6" w:space="0"/>
            </w:tcBorders>
            <w:vAlign w:val="center"/>
          </w:tcPr>
          <w:p w14:paraId="00B669FE">
            <w:pPr>
              <w:pStyle w:val="11"/>
            </w:pPr>
            <w:r>
              <w:t>单位：万元</w:t>
            </w:r>
          </w:p>
        </w:tc>
      </w:tr>
      <w:tr w14:paraId="788C7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BF619">
            <w:pPr>
              <w:pStyle w:val="14"/>
            </w:pPr>
            <w:r>
              <w:t>项目编码</w:t>
            </w:r>
          </w:p>
        </w:tc>
        <w:tc>
          <w:tcPr>
            <w:tcW w:w="2608" w:type="dxa"/>
            <w:gridSpan w:val="2"/>
            <w:vAlign w:val="center"/>
          </w:tcPr>
          <w:p w14:paraId="2A0A3132">
            <w:pPr>
              <w:pStyle w:val="13"/>
            </w:pPr>
            <w:r>
              <w:t>13020225P00869510006T</w:t>
            </w:r>
          </w:p>
        </w:tc>
        <w:tc>
          <w:tcPr>
            <w:tcW w:w="1587" w:type="dxa"/>
            <w:vAlign w:val="center"/>
          </w:tcPr>
          <w:p w14:paraId="72676F4F">
            <w:pPr>
              <w:pStyle w:val="14"/>
            </w:pPr>
            <w:r>
              <w:t>项目名称</w:t>
            </w:r>
          </w:p>
        </w:tc>
        <w:tc>
          <w:tcPr>
            <w:tcW w:w="4423" w:type="dxa"/>
            <w:gridSpan w:val="3"/>
            <w:vAlign w:val="center"/>
          </w:tcPr>
          <w:p w14:paraId="5B8A31A9">
            <w:pPr>
              <w:pStyle w:val="13"/>
            </w:pPr>
            <w:r>
              <w:t>招商引资专项业务费</w:t>
            </w:r>
          </w:p>
        </w:tc>
      </w:tr>
      <w:tr w14:paraId="2AD55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C0048">
            <w:pPr>
              <w:pStyle w:val="14"/>
            </w:pPr>
            <w:r>
              <w:t>预算规模及资金用途</w:t>
            </w:r>
          </w:p>
        </w:tc>
        <w:tc>
          <w:tcPr>
            <w:tcW w:w="1276" w:type="dxa"/>
            <w:vAlign w:val="center"/>
          </w:tcPr>
          <w:p w14:paraId="48D24240">
            <w:pPr>
              <w:pStyle w:val="14"/>
            </w:pPr>
            <w:r>
              <w:t>预算数</w:t>
            </w:r>
          </w:p>
        </w:tc>
        <w:tc>
          <w:tcPr>
            <w:tcW w:w="1332" w:type="dxa"/>
            <w:vAlign w:val="center"/>
          </w:tcPr>
          <w:p w14:paraId="5A1DAD1D">
            <w:pPr>
              <w:pStyle w:val="13"/>
            </w:pPr>
            <w:r>
              <w:t>20.00</w:t>
            </w:r>
          </w:p>
        </w:tc>
        <w:tc>
          <w:tcPr>
            <w:tcW w:w="1587" w:type="dxa"/>
            <w:vAlign w:val="center"/>
          </w:tcPr>
          <w:p w14:paraId="38351409">
            <w:pPr>
              <w:pStyle w:val="14"/>
            </w:pPr>
            <w:r>
              <w:t>其中：财政    资金</w:t>
            </w:r>
          </w:p>
        </w:tc>
        <w:tc>
          <w:tcPr>
            <w:tcW w:w="1304" w:type="dxa"/>
            <w:vAlign w:val="center"/>
          </w:tcPr>
          <w:p w14:paraId="7F00A79E">
            <w:pPr>
              <w:pStyle w:val="13"/>
            </w:pPr>
            <w:r>
              <w:t>20.00</w:t>
            </w:r>
          </w:p>
        </w:tc>
        <w:tc>
          <w:tcPr>
            <w:tcW w:w="1276" w:type="dxa"/>
            <w:vAlign w:val="center"/>
          </w:tcPr>
          <w:p w14:paraId="0950AE84">
            <w:pPr>
              <w:pStyle w:val="14"/>
            </w:pPr>
            <w:r>
              <w:t>其他资金</w:t>
            </w:r>
          </w:p>
        </w:tc>
        <w:tc>
          <w:tcPr>
            <w:tcW w:w="1843" w:type="dxa"/>
            <w:vAlign w:val="center"/>
          </w:tcPr>
          <w:p w14:paraId="16AB00E4">
            <w:pPr>
              <w:pStyle w:val="13"/>
            </w:pPr>
            <w:r>
              <w:t xml:space="preserve"> </w:t>
            </w:r>
          </w:p>
        </w:tc>
      </w:tr>
      <w:tr w14:paraId="4F630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460B4"/>
        </w:tc>
        <w:tc>
          <w:tcPr>
            <w:tcW w:w="8618" w:type="dxa"/>
            <w:gridSpan w:val="6"/>
            <w:vAlign w:val="center"/>
          </w:tcPr>
          <w:p w14:paraId="14C44422">
            <w:pPr>
              <w:pStyle w:val="13"/>
            </w:pPr>
            <w:r>
              <w:t>用于2025年路南编办招商引资专项</w:t>
            </w:r>
          </w:p>
        </w:tc>
      </w:tr>
      <w:tr w14:paraId="446F7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78405">
            <w:pPr>
              <w:pStyle w:val="14"/>
            </w:pPr>
            <w:r>
              <w:t>资金支出计划（%）</w:t>
            </w:r>
          </w:p>
        </w:tc>
        <w:tc>
          <w:tcPr>
            <w:tcW w:w="2608" w:type="dxa"/>
            <w:gridSpan w:val="2"/>
            <w:vAlign w:val="center"/>
          </w:tcPr>
          <w:p w14:paraId="0D8F761B">
            <w:pPr>
              <w:pStyle w:val="14"/>
            </w:pPr>
            <w:r>
              <w:t>3月底</w:t>
            </w:r>
          </w:p>
        </w:tc>
        <w:tc>
          <w:tcPr>
            <w:tcW w:w="1587" w:type="dxa"/>
            <w:vAlign w:val="center"/>
          </w:tcPr>
          <w:p w14:paraId="46B0D888">
            <w:pPr>
              <w:pStyle w:val="14"/>
            </w:pPr>
            <w:r>
              <w:t>6月底</w:t>
            </w:r>
          </w:p>
        </w:tc>
        <w:tc>
          <w:tcPr>
            <w:tcW w:w="1304" w:type="dxa"/>
            <w:vAlign w:val="center"/>
          </w:tcPr>
          <w:p w14:paraId="0809D6A8">
            <w:pPr>
              <w:pStyle w:val="14"/>
            </w:pPr>
            <w:r>
              <w:t>10月底</w:t>
            </w:r>
          </w:p>
        </w:tc>
        <w:tc>
          <w:tcPr>
            <w:tcW w:w="3119" w:type="dxa"/>
            <w:gridSpan w:val="2"/>
            <w:vAlign w:val="center"/>
          </w:tcPr>
          <w:p w14:paraId="5CC9AA27">
            <w:pPr>
              <w:pStyle w:val="14"/>
            </w:pPr>
            <w:r>
              <w:t>12月底</w:t>
            </w:r>
          </w:p>
        </w:tc>
      </w:tr>
      <w:tr w14:paraId="49E62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806B0"/>
        </w:tc>
        <w:tc>
          <w:tcPr>
            <w:tcW w:w="2608" w:type="dxa"/>
            <w:gridSpan w:val="2"/>
            <w:vAlign w:val="center"/>
          </w:tcPr>
          <w:p w14:paraId="7544FC8C">
            <w:pPr>
              <w:pStyle w:val="15"/>
            </w:pPr>
            <w:r>
              <w:t>25%</w:t>
            </w:r>
          </w:p>
        </w:tc>
        <w:tc>
          <w:tcPr>
            <w:tcW w:w="1587" w:type="dxa"/>
            <w:vAlign w:val="center"/>
          </w:tcPr>
          <w:p w14:paraId="11200C9F">
            <w:pPr>
              <w:pStyle w:val="15"/>
            </w:pPr>
            <w:r>
              <w:t>25%</w:t>
            </w:r>
          </w:p>
        </w:tc>
        <w:tc>
          <w:tcPr>
            <w:tcW w:w="1304" w:type="dxa"/>
            <w:vAlign w:val="center"/>
          </w:tcPr>
          <w:p w14:paraId="1789D48E">
            <w:pPr>
              <w:pStyle w:val="15"/>
            </w:pPr>
            <w:r>
              <w:t>25%</w:t>
            </w:r>
          </w:p>
        </w:tc>
        <w:tc>
          <w:tcPr>
            <w:tcW w:w="3119" w:type="dxa"/>
            <w:gridSpan w:val="2"/>
            <w:vAlign w:val="center"/>
          </w:tcPr>
          <w:p w14:paraId="524A69C2">
            <w:pPr>
              <w:pStyle w:val="15"/>
            </w:pPr>
            <w:r>
              <w:t>25%</w:t>
            </w:r>
          </w:p>
        </w:tc>
      </w:tr>
      <w:tr w14:paraId="59215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015F3">
            <w:pPr>
              <w:pStyle w:val="14"/>
            </w:pPr>
            <w:r>
              <w:t>绩效目标</w:t>
            </w:r>
          </w:p>
        </w:tc>
        <w:tc>
          <w:tcPr>
            <w:tcW w:w="8618" w:type="dxa"/>
            <w:gridSpan w:val="6"/>
            <w:vAlign w:val="center"/>
          </w:tcPr>
          <w:p w14:paraId="448025F4">
            <w:pPr>
              <w:pStyle w:val="13"/>
            </w:pPr>
            <w:r>
              <w:t>1.开展专题培训会，发动全员积极参与，完成招商引资任务</w:t>
            </w:r>
          </w:p>
        </w:tc>
      </w:tr>
    </w:tbl>
    <w:p w14:paraId="7263A9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93A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559DA">
            <w:pPr>
              <w:pStyle w:val="14"/>
            </w:pPr>
            <w:r>
              <w:t>一级指标</w:t>
            </w:r>
          </w:p>
        </w:tc>
        <w:tc>
          <w:tcPr>
            <w:tcW w:w="1276" w:type="dxa"/>
            <w:vAlign w:val="center"/>
          </w:tcPr>
          <w:p w14:paraId="5D914F21">
            <w:pPr>
              <w:pStyle w:val="14"/>
            </w:pPr>
            <w:r>
              <w:t>二级指标</w:t>
            </w:r>
          </w:p>
        </w:tc>
        <w:tc>
          <w:tcPr>
            <w:tcW w:w="1332" w:type="dxa"/>
            <w:vAlign w:val="center"/>
          </w:tcPr>
          <w:p w14:paraId="6859A440">
            <w:pPr>
              <w:pStyle w:val="14"/>
            </w:pPr>
            <w:r>
              <w:t>三级指标</w:t>
            </w:r>
          </w:p>
        </w:tc>
        <w:tc>
          <w:tcPr>
            <w:tcW w:w="2891" w:type="dxa"/>
            <w:vAlign w:val="center"/>
          </w:tcPr>
          <w:p w14:paraId="5B1041F4">
            <w:pPr>
              <w:pStyle w:val="14"/>
            </w:pPr>
            <w:r>
              <w:t>绩效指标描述</w:t>
            </w:r>
          </w:p>
        </w:tc>
        <w:tc>
          <w:tcPr>
            <w:tcW w:w="1276" w:type="dxa"/>
            <w:vAlign w:val="center"/>
          </w:tcPr>
          <w:p w14:paraId="13C2BCDC">
            <w:pPr>
              <w:pStyle w:val="14"/>
            </w:pPr>
            <w:r>
              <w:t>指标值</w:t>
            </w:r>
          </w:p>
        </w:tc>
        <w:tc>
          <w:tcPr>
            <w:tcW w:w="1843" w:type="dxa"/>
            <w:vAlign w:val="center"/>
          </w:tcPr>
          <w:p w14:paraId="07C963AC">
            <w:pPr>
              <w:pStyle w:val="14"/>
            </w:pPr>
            <w:r>
              <w:t>指标值确定依据</w:t>
            </w:r>
          </w:p>
        </w:tc>
      </w:tr>
      <w:tr w14:paraId="0C24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5AF81">
            <w:pPr>
              <w:pStyle w:val="15"/>
            </w:pPr>
            <w:r>
              <w:t>产出指标</w:t>
            </w:r>
          </w:p>
        </w:tc>
        <w:tc>
          <w:tcPr>
            <w:tcW w:w="1276" w:type="dxa"/>
            <w:vAlign w:val="center"/>
          </w:tcPr>
          <w:p w14:paraId="0B6553CD">
            <w:pPr>
              <w:pStyle w:val="13"/>
            </w:pPr>
            <w:r>
              <w:t>数量指标</w:t>
            </w:r>
          </w:p>
        </w:tc>
        <w:tc>
          <w:tcPr>
            <w:tcW w:w="1332" w:type="dxa"/>
            <w:vAlign w:val="center"/>
          </w:tcPr>
          <w:p w14:paraId="5C39B0B7">
            <w:pPr>
              <w:pStyle w:val="13"/>
            </w:pPr>
            <w:r>
              <w:t>培训次数</w:t>
            </w:r>
          </w:p>
        </w:tc>
        <w:tc>
          <w:tcPr>
            <w:tcW w:w="2891" w:type="dxa"/>
            <w:vAlign w:val="center"/>
          </w:tcPr>
          <w:p w14:paraId="159FD141">
            <w:pPr>
              <w:pStyle w:val="13"/>
            </w:pPr>
            <w:r>
              <w:t>培训次数</w:t>
            </w:r>
          </w:p>
        </w:tc>
        <w:tc>
          <w:tcPr>
            <w:tcW w:w="1276" w:type="dxa"/>
            <w:vAlign w:val="center"/>
          </w:tcPr>
          <w:p w14:paraId="3C399419">
            <w:pPr>
              <w:pStyle w:val="13"/>
            </w:pPr>
            <w:r>
              <w:t>≥2次</w:t>
            </w:r>
          </w:p>
        </w:tc>
        <w:tc>
          <w:tcPr>
            <w:tcW w:w="1843" w:type="dxa"/>
            <w:vAlign w:val="center"/>
          </w:tcPr>
          <w:p w14:paraId="5D6B4FB1">
            <w:pPr>
              <w:pStyle w:val="13"/>
            </w:pPr>
            <w:r>
              <w:t>招商政策</w:t>
            </w:r>
          </w:p>
        </w:tc>
      </w:tr>
      <w:tr w14:paraId="17B04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227E4"/>
        </w:tc>
        <w:tc>
          <w:tcPr>
            <w:tcW w:w="1276" w:type="dxa"/>
            <w:vAlign w:val="center"/>
          </w:tcPr>
          <w:p w14:paraId="4E8BD92F">
            <w:pPr>
              <w:pStyle w:val="13"/>
            </w:pPr>
            <w:r>
              <w:t>质量指标</w:t>
            </w:r>
          </w:p>
        </w:tc>
        <w:tc>
          <w:tcPr>
            <w:tcW w:w="1332" w:type="dxa"/>
            <w:vAlign w:val="center"/>
          </w:tcPr>
          <w:p w14:paraId="317F8EFF">
            <w:pPr>
              <w:pStyle w:val="13"/>
            </w:pPr>
            <w:r>
              <w:t>专款专用率</w:t>
            </w:r>
          </w:p>
        </w:tc>
        <w:tc>
          <w:tcPr>
            <w:tcW w:w="2891" w:type="dxa"/>
            <w:vAlign w:val="center"/>
          </w:tcPr>
          <w:p w14:paraId="22EA563A">
            <w:pPr>
              <w:pStyle w:val="13"/>
            </w:pPr>
            <w:r>
              <w:t>专款专用率</w:t>
            </w:r>
          </w:p>
        </w:tc>
        <w:tc>
          <w:tcPr>
            <w:tcW w:w="1276" w:type="dxa"/>
            <w:vAlign w:val="center"/>
          </w:tcPr>
          <w:p w14:paraId="69DFB90B">
            <w:pPr>
              <w:pStyle w:val="13"/>
            </w:pPr>
            <w:r>
              <w:t>≥95百分比</w:t>
            </w:r>
          </w:p>
        </w:tc>
        <w:tc>
          <w:tcPr>
            <w:tcW w:w="1843" w:type="dxa"/>
            <w:vAlign w:val="center"/>
          </w:tcPr>
          <w:p w14:paraId="2DCE4258">
            <w:pPr>
              <w:pStyle w:val="13"/>
            </w:pPr>
            <w:r>
              <w:t>招商政策</w:t>
            </w:r>
          </w:p>
        </w:tc>
      </w:tr>
      <w:tr w14:paraId="4E693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73071"/>
        </w:tc>
        <w:tc>
          <w:tcPr>
            <w:tcW w:w="1276" w:type="dxa"/>
            <w:vAlign w:val="center"/>
          </w:tcPr>
          <w:p w14:paraId="5338E108">
            <w:pPr>
              <w:pStyle w:val="13"/>
            </w:pPr>
            <w:r>
              <w:t>时效指标</w:t>
            </w:r>
          </w:p>
        </w:tc>
        <w:tc>
          <w:tcPr>
            <w:tcW w:w="1332" w:type="dxa"/>
            <w:vAlign w:val="center"/>
          </w:tcPr>
          <w:p w14:paraId="2BB525C5">
            <w:pPr>
              <w:pStyle w:val="13"/>
            </w:pPr>
            <w:r>
              <w:t>工作任务完成及时率</w:t>
            </w:r>
          </w:p>
        </w:tc>
        <w:tc>
          <w:tcPr>
            <w:tcW w:w="2891" w:type="dxa"/>
            <w:vAlign w:val="center"/>
          </w:tcPr>
          <w:p w14:paraId="0F26B35E">
            <w:pPr>
              <w:pStyle w:val="13"/>
            </w:pPr>
            <w:r>
              <w:t>工作任务完成及时率</w:t>
            </w:r>
          </w:p>
        </w:tc>
        <w:tc>
          <w:tcPr>
            <w:tcW w:w="1276" w:type="dxa"/>
            <w:vAlign w:val="center"/>
          </w:tcPr>
          <w:p w14:paraId="415FC251">
            <w:pPr>
              <w:pStyle w:val="13"/>
            </w:pPr>
            <w:r>
              <w:t>≥95百分比</w:t>
            </w:r>
          </w:p>
        </w:tc>
        <w:tc>
          <w:tcPr>
            <w:tcW w:w="1843" w:type="dxa"/>
            <w:vAlign w:val="center"/>
          </w:tcPr>
          <w:p w14:paraId="696C0F38">
            <w:pPr>
              <w:pStyle w:val="13"/>
            </w:pPr>
            <w:r>
              <w:t>招商政策</w:t>
            </w:r>
          </w:p>
        </w:tc>
      </w:tr>
      <w:tr w14:paraId="6C1C7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4F694"/>
        </w:tc>
        <w:tc>
          <w:tcPr>
            <w:tcW w:w="1276" w:type="dxa"/>
            <w:vAlign w:val="center"/>
          </w:tcPr>
          <w:p w14:paraId="6DCBF5A5">
            <w:pPr>
              <w:pStyle w:val="13"/>
            </w:pPr>
            <w:r>
              <w:t>成本指标</w:t>
            </w:r>
          </w:p>
        </w:tc>
        <w:tc>
          <w:tcPr>
            <w:tcW w:w="1332" w:type="dxa"/>
            <w:vAlign w:val="center"/>
          </w:tcPr>
          <w:p w14:paraId="68911E1D">
            <w:pPr>
              <w:pStyle w:val="13"/>
            </w:pPr>
            <w:r>
              <w:t>全年预算资金完成率</w:t>
            </w:r>
          </w:p>
        </w:tc>
        <w:tc>
          <w:tcPr>
            <w:tcW w:w="2891" w:type="dxa"/>
            <w:vAlign w:val="center"/>
          </w:tcPr>
          <w:p w14:paraId="4D47EE51">
            <w:pPr>
              <w:pStyle w:val="13"/>
            </w:pPr>
            <w:r>
              <w:t>年终完成全年预算资金支出进度</w:t>
            </w:r>
          </w:p>
        </w:tc>
        <w:tc>
          <w:tcPr>
            <w:tcW w:w="1276" w:type="dxa"/>
            <w:vAlign w:val="center"/>
          </w:tcPr>
          <w:p w14:paraId="667E693D">
            <w:pPr>
              <w:pStyle w:val="13"/>
            </w:pPr>
            <w:r>
              <w:t>≥90百分比</w:t>
            </w:r>
          </w:p>
        </w:tc>
        <w:tc>
          <w:tcPr>
            <w:tcW w:w="1843" w:type="dxa"/>
            <w:vAlign w:val="center"/>
          </w:tcPr>
          <w:p w14:paraId="3966539E">
            <w:pPr>
              <w:pStyle w:val="13"/>
            </w:pPr>
            <w:r>
              <w:t>招商政策</w:t>
            </w:r>
          </w:p>
        </w:tc>
      </w:tr>
      <w:tr w14:paraId="135CB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CF8FD">
            <w:pPr>
              <w:pStyle w:val="15"/>
            </w:pPr>
            <w:r>
              <w:t>效益指标</w:t>
            </w:r>
          </w:p>
        </w:tc>
        <w:tc>
          <w:tcPr>
            <w:tcW w:w="1276" w:type="dxa"/>
            <w:vAlign w:val="center"/>
          </w:tcPr>
          <w:p w14:paraId="3BBCAC8D">
            <w:pPr>
              <w:pStyle w:val="13"/>
            </w:pPr>
            <w:r>
              <w:t>经济效益指标</w:t>
            </w:r>
          </w:p>
        </w:tc>
        <w:tc>
          <w:tcPr>
            <w:tcW w:w="1332" w:type="dxa"/>
            <w:vAlign w:val="center"/>
          </w:tcPr>
          <w:p w14:paraId="60B6661D">
            <w:pPr>
              <w:pStyle w:val="13"/>
            </w:pPr>
            <w:r>
              <w:t>累计签订意向或协议数</w:t>
            </w:r>
          </w:p>
        </w:tc>
        <w:tc>
          <w:tcPr>
            <w:tcW w:w="2891" w:type="dxa"/>
            <w:vAlign w:val="center"/>
          </w:tcPr>
          <w:p w14:paraId="08096D0A">
            <w:pPr>
              <w:pStyle w:val="13"/>
            </w:pPr>
            <w:r>
              <w:t>累计签订意向或协议数</w:t>
            </w:r>
          </w:p>
        </w:tc>
        <w:tc>
          <w:tcPr>
            <w:tcW w:w="1276" w:type="dxa"/>
            <w:vAlign w:val="center"/>
          </w:tcPr>
          <w:p w14:paraId="3F1D27E9">
            <w:pPr>
              <w:pStyle w:val="13"/>
            </w:pPr>
            <w:r>
              <w:t>≥1个</w:t>
            </w:r>
          </w:p>
        </w:tc>
        <w:tc>
          <w:tcPr>
            <w:tcW w:w="1843" w:type="dxa"/>
            <w:vAlign w:val="center"/>
          </w:tcPr>
          <w:p w14:paraId="10BABAAB">
            <w:pPr>
              <w:pStyle w:val="13"/>
            </w:pPr>
            <w:r>
              <w:t>招商政策</w:t>
            </w:r>
          </w:p>
        </w:tc>
      </w:tr>
      <w:tr w14:paraId="1B11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B27EE"/>
        </w:tc>
        <w:tc>
          <w:tcPr>
            <w:tcW w:w="1276" w:type="dxa"/>
            <w:vAlign w:val="center"/>
          </w:tcPr>
          <w:p w14:paraId="4033CC95">
            <w:pPr>
              <w:pStyle w:val="13"/>
            </w:pPr>
            <w:r>
              <w:t>社会效益指标</w:t>
            </w:r>
          </w:p>
        </w:tc>
        <w:tc>
          <w:tcPr>
            <w:tcW w:w="1332" w:type="dxa"/>
            <w:vAlign w:val="center"/>
          </w:tcPr>
          <w:p w14:paraId="21357D46">
            <w:pPr>
              <w:pStyle w:val="13"/>
            </w:pPr>
            <w:r>
              <w:t>促进重点工作有效开展</w:t>
            </w:r>
          </w:p>
        </w:tc>
        <w:tc>
          <w:tcPr>
            <w:tcW w:w="2891" w:type="dxa"/>
            <w:vAlign w:val="center"/>
          </w:tcPr>
          <w:p w14:paraId="0F64F461">
            <w:pPr>
              <w:pStyle w:val="13"/>
            </w:pPr>
            <w:r>
              <w:t>促进重点工作有效开展</w:t>
            </w:r>
          </w:p>
        </w:tc>
        <w:tc>
          <w:tcPr>
            <w:tcW w:w="1276" w:type="dxa"/>
            <w:vAlign w:val="center"/>
          </w:tcPr>
          <w:p w14:paraId="4095582C">
            <w:pPr>
              <w:pStyle w:val="13"/>
            </w:pPr>
            <w:r>
              <w:t>有效开展工作</w:t>
            </w:r>
          </w:p>
        </w:tc>
        <w:tc>
          <w:tcPr>
            <w:tcW w:w="1843" w:type="dxa"/>
            <w:vAlign w:val="center"/>
          </w:tcPr>
          <w:p w14:paraId="7DEF3079">
            <w:pPr>
              <w:pStyle w:val="13"/>
            </w:pPr>
            <w:r>
              <w:t>招商政策</w:t>
            </w:r>
          </w:p>
        </w:tc>
      </w:tr>
      <w:tr w14:paraId="584F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2C484">
            <w:pPr>
              <w:pStyle w:val="15"/>
            </w:pPr>
            <w:r>
              <w:t>满意度指标</w:t>
            </w:r>
          </w:p>
        </w:tc>
        <w:tc>
          <w:tcPr>
            <w:tcW w:w="1276" w:type="dxa"/>
            <w:vAlign w:val="center"/>
          </w:tcPr>
          <w:p w14:paraId="52EA33E8">
            <w:pPr>
              <w:pStyle w:val="13"/>
            </w:pPr>
            <w:r>
              <w:t>服务对象满意度指标</w:t>
            </w:r>
          </w:p>
        </w:tc>
        <w:tc>
          <w:tcPr>
            <w:tcW w:w="1332" w:type="dxa"/>
            <w:vAlign w:val="center"/>
          </w:tcPr>
          <w:p w14:paraId="2DB4AE22">
            <w:pPr>
              <w:pStyle w:val="13"/>
            </w:pPr>
            <w:r>
              <w:t>群众满意度</w:t>
            </w:r>
          </w:p>
        </w:tc>
        <w:tc>
          <w:tcPr>
            <w:tcW w:w="2891" w:type="dxa"/>
            <w:vAlign w:val="center"/>
          </w:tcPr>
          <w:p w14:paraId="38517181">
            <w:pPr>
              <w:pStyle w:val="13"/>
            </w:pPr>
            <w:r>
              <w:t>问卷调查中满意群众占被调查群众比率</w:t>
            </w:r>
          </w:p>
        </w:tc>
        <w:tc>
          <w:tcPr>
            <w:tcW w:w="1276" w:type="dxa"/>
            <w:vAlign w:val="center"/>
          </w:tcPr>
          <w:p w14:paraId="5EE2DBEF">
            <w:pPr>
              <w:pStyle w:val="13"/>
            </w:pPr>
            <w:r>
              <w:t>≥90百分比</w:t>
            </w:r>
          </w:p>
        </w:tc>
        <w:tc>
          <w:tcPr>
            <w:tcW w:w="1843" w:type="dxa"/>
            <w:vAlign w:val="center"/>
          </w:tcPr>
          <w:p w14:paraId="1236E220">
            <w:pPr>
              <w:pStyle w:val="13"/>
            </w:pPr>
            <w:r>
              <w:t>招商政策</w:t>
            </w:r>
          </w:p>
        </w:tc>
      </w:tr>
    </w:tbl>
    <w:p w14:paraId="57DF0DD3"/>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6CEF">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5893">
    <w:pPr>
      <w:jc w:val="left"/>
    </w:pPr>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4090293"/>
    <w:rsid w:val="36D426E5"/>
    <w:rsid w:val="4F77201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3372</Words>
  <Characters>3607</Characters>
  <TotalTime>1</TotalTime>
  <ScaleCrop>false</ScaleCrop>
  <LinksUpToDate>false</LinksUpToDate>
  <CharactersWithSpaces>3687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2025-02-07T07:19:00Z</dcterms:created>
  <dc:creator>管理员</dc:creator>
  <cp:lastModifiedBy>管理员</cp:lastModifiedBy>
  <dcterms:modified xsi:type="dcterms:W3CDTF">2025-02-11T01:51:09Z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eyJoZGlkIjoiNjYwMGNlMjEzODNhN2I0OWQzMDE4OTViMjI4NzM1NzEifQ==</vt:lpwstr>
  </property>
  <property fmtid="{D5CDD505-2E9C-101B-9397-08002B2CF9AE}" pid="3" name="KSOProductBuildVer">
    <vt:lpwstr>2052-12.1.0.19770</vt:lpwstr>
  </property>
  <property fmtid="{D5CDD505-2E9C-101B-9397-08002B2CF9AE}" pid="4" name="ICV">
    <vt:lpwstr>E79DD091ADD04C3A82DF316757866ABE_12</vt:lpwstr>
  </property>
</Properties>
</file>