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9"/>
      </w:pPr>
      <w:r>
        <w:rPr>
          <w:rFonts w:asci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color w:val="000000"/>
          <w:sz w:val="72"/>
        </w:rPr>
        <w:t>唐山市路南区人民政府办公室</w:t>
      </w:r>
    </w:p>
    <w:p>
      <w:pPr>
        <w:spacing w:before="0" w:after="0" w:line="240" w:lineRule="auto"/>
        <w:ind w:firstLine="0"/>
        <w:jc w:val="center"/>
        <w:outlineLvl w:val="9"/>
      </w:pPr>
      <w:r>
        <w:rPr>
          <w:rFonts w:asci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eastAsia="方正小标宋_GBK" w:cs="方正小标宋_GBK"/>
          <w:color w:val="000000"/>
          <w:sz w:val="52"/>
        </w:rPr>
        <w:t>（草案）</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宋体" w:eastAsia="宋体" w:cs="宋体"/>
          <w:color w:val="000000"/>
          <w:sz w:val="21"/>
        </w:rPr>
        <w:t xml:space="preserve"> </w:t>
      </w:r>
    </w:p>
    <w:p>
      <w:pPr>
        <w:spacing w:before="0" w:after="0" w:line="240" w:lineRule="auto"/>
        <w:ind w:firstLine="0"/>
        <w:jc w:val="center"/>
        <w:outlineLvl w:val="9"/>
      </w:pPr>
      <w:r>
        <w:rPr>
          <w:rFonts w:ascii="方正楷体_GBK" w:eastAsia="方正楷体_GBK" w:cs="方正楷体_GBK"/>
          <w:b/>
          <w:color w:val="000000"/>
          <w:sz w:val="32"/>
        </w:rPr>
        <w:t>唐山市路南区人民政府办公室编制</w:t>
      </w:r>
    </w:p>
    <w:p>
      <w:pPr>
        <w:spacing w:before="0" w:after="0" w:line="240" w:lineRule="auto"/>
        <w:ind w:firstLine="0"/>
        <w:jc w:val="center"/>
        <w:outlineLvl w:val="9"/>
        <w:sectPr>
          <w:pgSz w:w="11901" w:h="16840"/>
          <w:pgMar w:top="1985" w:right="1191" w:bottom="1134" w:left="1191" w:header="720" w:footer="720" w:gutter="0"/>
          <w:titlePg/>
          <w:docGrid w:linePitch="326" w:charSpace="0"/>
        </w:sectPr>
      </w:pPr>
      <w:r>
        <w:rPr>
          <w:rFonts w:ascii="方正楷体_GBK" w:eastAsia="方正楷体_GBK" w:cs="方正楷体_GBK"/>
          <w:b/>
          <w:color w:val="000000"/>
          <w:sz w:val="32"/>
        </w:rPr>
        <w:t>唐山市路南区财政局审核</w:t>
      </w:r>
    </w:p>
    <w:p>
      <w:pPr>
        <w:spacing w:before="0" w:after="0" w:line="240" w:lineRule="auto"/>
        <w:ind w:firstLine="0"/>
        <w:jc w:val="center"/>
        <w:outlineLvl w:val="9"/>
      </w:pPr>
      <w:r>
        <w:rPr>
          <w:rFonts w:asci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eastAsia="方正小标宋_GBK" w:cs="方正小标宋_GBK"/>
          <w:color w:val="000000"/>
          <w:sz w:val="30"/>
        </w:rPr>
        <w:t>第一部分 部门整体绩效目标</w:t>
      </w:r>
    </w:p>
    <w:p>
      <w:pPr>
        <w:pStyle w:val="25"/>
        <w:tabs>
          <w:tab w:val="right" w:leader="dot" w:pos="9282"/>
        </w:tabs>
      </w:pPr>
      <w:r>
        <w:fldChar w:fldCharType="begin"/>
      </w:r>
      <w:r>
        <w:instrText xml:space="preserve">TOC \o "2-2" \h \z \u </w:instrText>
      </w:r>
      <w:r>
        <w:fldChar w:fldCharType="separate"/>
      </w:r>
      <w:r>
        <w:fldChar w:fldCharType="begin"/>
      </w:r>
      <w:r>
        <w:instrText>Hyperlink \l "_Toc_2_2_0000000001"</w:instrText>
      </w:r>
      <w:r>
        <w:fldChar w:fldCharType="separate"/>
      </w:r>
      <w:r>
        <w:t>一、总体绩效目标</w:t>
        <w:tab/>
      </w:r>
      <w:r>
        <w:fldChar w:fldCharType="begin"/>
      </w:r>
      <w:r>
        <w:instrText>PAGEREF _Toc_2_2_0000000001 \h</w:instrText>
      </w:r>
      <w:r>
        <w:fldChar w:fldCharType="separate"/>
      </w:r>
      <w:r>
        <w:t>1</w:t>
      </w:r>
      <w:r>
        <w:fldChar w:fldCharType="end"/>
      </w:r>
      <w:r>
        <w:fldChar w:fldCharType="end"/>
      </w:r>
    </w:p>
    <w:p>
      <w:pPr>
        <w:pStyle w:val="25"/>
        <w:tabs>
          <w:tab w:val="right" w:leader="dot" w:pos="9282"/>
        </w:tabs>
      </w:pPr>
      <w:r>
        <w:fldChar w:fldCharType="begin"/>
      </w:r>
      <w:r>
        <w:instrText>Hyperlink \l "_Toc_2_2_0000000002"</w:instrText>
      </w:r>
      <w:r>
        <w:fldChar w:fldCharType="separate"/>
      </w:r>
      <w:r>
        <w:t>二、分项绩效目标</w:t>
        <w:tab/>
      </w:r>
      <w:r>
        <w:fldChar w:fldCharType="begin"/>
      </w:r>
      <w:r>
        <w:instrText>PAGEREF _Toc_2_2_0000000002 \h</w:instrText>
      </w:r>
      <w:r>
        <w:fldChar w:fldCharType="separate"/>
      </w:r>
      <w:r>
        <w:t>2</w:t>
      </w:r>
      <w:r>
        <w:fldChar w:fldCharType="end"/>
      </w:r>
      <w:r>
        <w:fldChar w:fldCharType="end"/>
      </w:r>
    </w:p>
    <w:p>
      <w:pPr>
        <w:pStyle w:val="25"/>
        <w:tabs>
          <w:tab w:val="right" w:leader="dot" w:pos="9282"/>
        </w:tabs>
      </w:pPr>
      <w:r>
        <w:fldChar w:fldCharType="begin"/>
      </w:r>
      <w:r>
        <w:instrText>Hyperlink \l "_Toc_2_2_0000000003"</w:instrText>
      </w:r>
      <w:r>
        <w:fldChar w:fldCharType="separate"/>
      </w:r>
      <w:r>
        <w:t>三、工作保障措施</w:t>
        <w:tab/>
      </w:r>
      <w:r>
        <w:fldChar w:fldCharType="begin"/>
      </w:r>
      <w:r>
        <w:instrText>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eastAsia="方正小标宋_GBK" w:cs="方正小标宋_GBK"/>
          <w:color w:val="000000"/>
          <w:sz w:val="30"/>
        </w:rPr>
        <w:t>第二部分 预算项目绩效目标</w:t>
      </w:r>
    </w:p>
    <w:p>
      <w:pPr>
        <w:pStyle w:val="25"/>
        <w:tabs>
          <w:tab w:val="right" w:leader="dot" w:pos="9282"/>
        </w:tabs>
      </w:pPr>
      <w:r>
        <w:fldChar w:fldCharType="begin"/>
      </w:r>
      <w:r>
        <w:instrText xml:space="preserve">TOC \o "4-4" \h \z \u </w:instrText>
      </w:r>
      <w:r>
        <w:fldChar w:fldCharType="separate"/>
      </w:r>
      <w:r>
        <w:fldChar w:fldCharType="begin"/>
      </w:r>
      <w:r>
        <w:instrText>Hyperlink \l "_Toc_4_4_0000000004"</w:instrText>
      </w:r>
      <w:r>
        <w:fldChar w:fldCharType="separate"/>
      </w:r>
      <w:r>
        <w:t>1.承接金融总部、上市培训、防范非法集资宣传、银企对接绩效目标表</w:t>
        <w:tab/>
      </w:r>
      <w:r>
        <w:fldChar w:fldCharType="begin"/>
      </w:r>
      <w:r>
        <w:instrText>PAGEREF _Toc_4_4_0000000004 \h</w:instrText>
      </w:r>
      <w:r>
        <w:fldChar w:fldCharType="separate"/>
      </w:r>
      <w:r>
        <w:t>6</w:t>
      </w:r>
      <w:r>
        <w:fldChar w:fldCharType="end"/>
      </w:r>
      <w:r>
        <w:fldChar w:fldCharType="end"/>
      </w:r>
    </w:p>
    <w:p>
      <w:pPr>
        <w:pStyle w:val="25"/>
        <w:tabs>
          <w:tab w:val="right" w:leader="dot" w:pos="9282"/>
        </w:tabs>
      </w:pPr>
      <w:r>
        <w:fldChar w:fldCharType="begin"/>
      </w:r>
      <w:r>
        <w:instrText>Hyperlink \l "_Toc_4_4_0000000005"</w:instrText>
      </w:r>
      <w:r>
        <w:fldChar w:fldCharType="separate"/>
      </w:r>
      <w:r>
        <w:t>2.云视频会议终端服务费绩效目标表</w:t>
        <w:tab/>
      </w:r>
      <w:r>
        <w:fldChar w:fldCharType="begin"/>
      </w:r>
      <w:r>
        <w:instrText>PAGEREF _Toc_4_4_0000000005 \h</w:instrText>
      </w:r>
      <w:r>
        <w:fldChar w:fldCharType="separate"/>
      </w:r>
      <w:r>
        <w:t>7</w:t>
      </w:r>
      <w:r>
        <w:fldChar w:fldCharType="end"/>
      </w:r>
      <w:r>
        <w:fldChar w:fldCharType="end"/>
      </w:r>
    </w:p>
    <w:p>
      <w:pPr>
        <w:pStyle w:val="25"/>
        <w:tabs>
          <w:tab w:val="right" w:leader="dot" w:pos="9282"/>
        </w:tabs>
      </w:pPr>
      <w:r>
        <w:fldChar w:fldCharType="begin"/>
      </w:r>
      <w:r>
        <w:instrText>Hyperlink \l "_Toc_4_4_0000000006"</w:instrText>
      </w:r>
      <w:r>
        <w:fldChar w:fldCharType="separate"/>
      </w:r>
      <w:r>
        <w:t>3.招商引资专用经费绩效目标表</w:t>
        <w:tab/>
      </w:r>
      <w:r>
        <w:fldChar w:fldCharType="begin"/>
      </w:r>
      <w:r>
        <w:instrText>PAGEREF _Toc_4_4_0000000006 \h</w:instrText>
      </w:r>
      <w:r>
        <w:fldChar w:fldCharType="separate"/>
      </w:r>
      <w:r>
        <w:t>8</w:t>
      </w:r>
      <w:r>
        <w:fldChar w:fldCharType="end"/>
      </w:r>
      <w:r>
        <w:fldChar w:fldCharType="end"/>
      </w:r>
    </w:p>
    <w:p>
      <w:r>
        <w:fldChar w:fldCharType="end"/>
      </w:r>
    </w:p>
    <w:p>
      <w:r>
        <w:br w:type="page"/>
        <w:br/>
      </w: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cs="方正黑体_GBK"/>
          <w:color w:val="000000"/>
          <w:sz w:val="28"/>
        </w:rPr>
        <w:t>一、总体绩效目标</w:t>
      </w:r>
      <w:bookmarkEnd w:id="0"/>
    </w:p>
    <w:p>
      <w:pPr>
        <w:pStyle w:val="15"/>
      </w:pPr>
      <w:r>
        <w:t>1.围绕区政府各时期的中心工作和重点工作，加强调查研究，及时了解、反映情况，提出建议，为区政府领导进行科学决策、部署和指导工作发挥综合协调和参谋助手作用。</w:t>
      </w:r>
    </w:p>
    <w:p>
      <w:pPr>
        <w:pStyle w:val="15"/>
      </w:pPr>
      <w:r>
        <w:t>2.协助区政府领导组织起草或审核上报市政府、市政府办公室和致函市政府各部门的公文，以及以区政府、区政府办公室名义发布的公文；办理区政府各部门、各乡镇街道和城南经济开发区管委会报送区政府的文电。</w:t>
      </w:r>
    </w:p>
    <w:p>
      <w:pPr>
        <w:pStyle w:val="15"/>
      </w:pPr>
      <w:r>
        <w:t>3.负责区政府领导活动的组织和协调工作；负责区政府会议的准备和服务工作，协助区政府领导组织落实会议议定事项。</w:t>
      </w:r>
    </w:p>
    <w:p>
      <w:pPr>
        <w:pStyle w:val="15"/>
      </w:pPr>
      <w:r>
        <w:t>4.负责组织区政府工作总结、报告和领导重要讲话的起草、审核、修改工作。</w:t>
      </w:r>
    </w:p>
    <w:p>
      <w:pPr>
        <w:pStyle w:val="15"/>
      </w:pPr>
      <w:r>
        <w:t>5.负责与区人大、区政协的工作联系；负责区人大代表建议、区政协委员提案的承办工作。</w:t>
      </w:r>
    </w:p>
    <w:p>
      <w:pPr>
        <w:pStyle w:val="15"/>
      </w:pPr>
      <w:r>
        <w:t>6.负责区政府值班工作，及时报告重要情况，传达和督促落实区政府领导工作要求。</w:t>
      </w:r>
    </w:p>
    <w:p>
      <w:pPr>
        <w:pStyle w:val="15"/>
      </w:pPr>
      <w:r>
        <w:t>7.负责指导并参与全区重大涉外活动，跟踪了解因公出国人员出访任务完成情况；负责区级领导干部出访计划的拟定、报批工作；负责办理邀请外国人来唐的审批审核手续；负责与上级外事部门的工作联系。</w:t>
      </w:r>
    </w:p>
    <w:p>
      <w:pPr>
        <w:pStyle w:val="15"/>
      </w:pPr>
      <w:r>
        <w:t>8.负责区政府公务接待工作。</w:t>
      </w:r>
    </w:p>
    <w:p>
      <w:pPr>
        <w:pStyle w:val="15"/>
      </w:pPr>
      <w:r>
        <w:t>9.负责政务信息服务及政府信息公开推进、协调、监督工作。</w:t>
      </w:r>
    </w:p>
    <w:p>
      <w:pPr>
        <w:pStyle w:val="15"/>
      </w:pPr>
      <w:r>
        <w:t>10.负责区政府办公室直属单位的管理工作。</w:t>
      </w:r>
    </w:p>
    <w:p>
      <w:pPr>
        <w:pStyle w:val="15"/>
      </w:pPr>
      <w:r>
        <w:t>11.负责做好地方金融监管工作。</w:t>
      </w:r>
    </w:p>
    <w:p>
      <w:pPr>
        <w:pStyle w:val="15"/>
      </w:pPr>
      <w:r>
        <w:t>12.完成区委、区政府交办的其他任务。</w:t>
      </w:r>
    </w:p>
    <w:p>
      <w:pPr>
        <w:pStyle w:val="15"/>
      </w:pPr>
    </w:p>
    <w:p>
      <w:pPr>
        <w:spacing w:before="10" w:after="10"/>
        <w:ind w:firstLine="560"/>
        <w:jc w:val="left"/>
        <w:outlineLvl w:val="1"/>
      </w:pPr>
      <w:bookmarkStart w:id="1" w:name="_Toc_2_2_0000000002"/>
      <w:r>
        <w:rPr>
          <w:rFonts w:ascii="方正黑体_GBK" w:eastAsia="方正黑体_GBK" w:cs="方正黑体_GBK"/>
          <w:color w:val="000000"/>
          <w:sz w:val="28"/>
        </w:rPr>
        <w:t>二、分项绩效目标</w:t>
      </w:r>
      <w:bookmarkEnd w:id="1"/>
    </w:p>
    <w:p>
      <w:pPr>
        <w:pStyle w:val="16"/>
      </w:pPr>
      <w:r>
        <w:t>1.政府各时期的中心工作和重点工作</w:t>
      </w:r>
    </w:p>
    <w:p>
      <w:pPr>
        <w:pStyle w:val="16"/>
      </w:pPr>
      <w:r>
        <w:t>绩效目标：调查研究，及时了解、反映情况，提出建议，为区政府领导进行科学决策、部署和指导工作发挥综合协调和参谋助手作用。</w:t>
      </w:r>
    </w:p>
    <w:p>
      <w:pPr>
        <w:pStyle w:val="16"/>
      </w:pPr>
      <w:r>
        <w:t>绩效指标：中心工作实现率，实际完成的中心工作占计划实现的中心工作的比例大于等于95%；重点工作的完成率，已完成的重点工作量占计划量的比例大于等于95%。</w:t>
      </w:r>
    </w:p>
    <w:p>
      <w:pPr>
        <w:pStyle w:val="16"/>
      </w:pPr>
      <w:r>
        <w:t>2.协助区政府领导组织起草或审核以区政府、区政府办公室名义发布的公文；</w:t>
      </w:r>
    </w:p>
    <w:p>
      <w:pPr>
        <w:pStyle w:val="16"/>
      </w:pPr>
      <w:r>
        <w:t>绩效目标：协助区政府领导组织起草或审核上报市政府、市政府办公室和致函市政府各部门的公文，以及以区政府、区政府办公室名义发布的公文；办理区政府各部门、各乡镇街道和城南经济开发区管委会报送区政府的文电。</w:t>
      </w:r>
    </w:p>
    <w:p>
      <w:pPr>
        <w:pStyle w:val="16"/>
      </w:pPr>
      <w:r>
        <w:t>绩效指标：监督文件发放的正确率和文件的完成率，年度监督工作完成情况占监督工作任务的比例大于等于95%。</w:t>
      </w:r>
    </w:p>
    <w:p>
      <w:pPr>
        <w:pStyle w:val="16"/>
      </w:pPr>
      <w:r>
        <w:t>3.负责区政府会议的准备和服务工作</w:t>
      </w:r>
    </w:p>
    <w:p>
      <w:pPr>
        <w:pStyle w:val="16"/>
      </w:pPr>
      <w:r>
        <w:t>绩效目标：完善各项会议制度，规范会议程序，提高会议质量，提高政府会议质量。</w:t>
      </w:r>
    </w:p>
    <w:p>
      <w:pPr>
        <w:pStyle w:val="16"/>
      </w:pPr>
      <w:r>
        <w:t>绩效指标：政府会议任务实现率，实际完成的政府会议任务占计划实现的政府会议任务的比例大于等于95%；会议筹备及会务工作的完成率，已完成的会议筹备及会务工作量占计划量的比例大于等于95%。</w:t>
      </w:r>
    </w:p>
    <w:p>
      <w:pPr>
        <w:pStyle w:val="16"/>
      </w:pPr>
      <w:r>
        <w:t>4.政府工作总结、报告起草、审核、修改工作</w:t>
      </w:r>
    </w:p>
    <w:p>
      <w:pPr>
        <w:pStyle w:val="16"/>
      </w:pPr>
      <w:r>
        <w:t>绩效目标：负责组织区政府工作总结、报告和领导重要讲话的起草、审核、修改工作</w:t>
      </w:r>
    </w:p>
    <w:p>
      <w:pPr>
        <w:pStyle w:val="16"/>
      </w:pPr>
      <w:r>
        <w:t>绩效指标：政府工作总结、报告起草、审核、修改工作任务完成率，年度完成情况占的比例大于等于100%。</w:t>
      </w:r>
    </w:p>
    <w:p>
      <w:pPr>
        <w:pStyle w:val="16"/>
      </w:pPr>
      <w:r>
        <w:t>5.负责与区人大、区政协的工作联系</w:t>
      </w:r>
    </w:p>
    <w:p>
      <w:pPr>
        <w:pStyle w:val="16"/>
      </w:pPr>
      <w:r>
        <w:t>绩效目标：负责与区人大、区政协的工作联系；负责区人大代表建议、区政协委员提案的承办工作。</w:t>
      </w:r>
    </w:p>
    <w:p>
      <w:pPr>
        <w:pStyle w:val="16"/>
      </w:pPr>
      <w:r>
        <w:t>绩效指标：提案交办率，年度内已完成的提案交办数量占提案总量的比例大于等于95%；提案督办完成率，年度内已完成的提案督办数占提案交办总数的比例大于等于95%。</w:t>
      </w:r>
    </w:p>
    <w:p>
      <w:pPr>
        <w:pStyle w:val="16"/>
      </w:pPr>
      <w:r>
        <w:t>6.政府信息公开推进、协调、监督工作</w:t>
      </w:r>
    </w:p>
    <w:p>
      <w:pPr>
        <w:pStyle w:val="16"/>
      </w:pPr>
      <w:r>
        <w:t>绩效目标：负责政务信息服务及政府信息公开推进、协调、监督工作。</w:t>
      </w:r>
    </w:p>
    <w:p>
      <w:pPr>
        <w:pStyle w:val="16"/>
      </w:pPr>
      <w:r>
        <w:t>绩效指标：推进、协调、监督工作任务完成率，年度进、协调、监督工作完成情况占工作任务的比例大于等于95%。</w:t>
      </w:r>
    </w:p>
    <w:p>
      <w:pPr>
        <w:pStyle w:val="16"/>
      </w:pPr>
      <w:r>
        <w:t>7.交办的其他任务</w:t>
      </w:r>
    </w:p>
    <w:p>
      <w:pPr>
        <w:pStyle w:val="16"/>
      </w:pPr>
      <w:r>
        <w:t>绩效目标：完成区委、区政府交办的其他任务</w:t>
      </w:r>
    </w:p>
    <w:p>
      <w:pPr>
        <w:pStyle w:val="16"/>
      </w:pPr>
      <w:r>
        <w:t>绩效指标：其它工作完成率，其它工作完成情况占工作计划的比例大于等于95%；其它工作的保障率占任务的比利大于等于95%。</w:t>
      </w:r>
    </w:p>
    <w:p>
      <w:pPr>
        <w:pStyle w:val="16"/>
      </w:pPr>
    </w:p>
    <w:p>
      <w:pPr>
        <w:spacing w:before="10" w:after="10"/>
        <w:ind w:firstLine="560"/>
        <w:jc w:val="left"/>
        <w:outlineLvl w:val="1"/>
      </w:pPr>
      <w:bookmarkStart w:id="2" w:name="_Toc_2_2_0000000003"/>
      <w:r>
        <w:rPr>
          <w:rFonts w:ascii="方正黑体_GBK" w:eastAsia="方正黑体_GBK" w:cs="方正黑体_GBK"/>
          <w:color w:val="000000"/>
          <w:sz w:val="28"/>
        </w:rPr>
        <w:t>三、工作保障措施</w:t>
      </w:r>
      <w:bookmarkEnd w:id="2"/>
    </w:p>
    <w:p>
      <w:pPr>
        <w:pStyle w:val="17"/>
      </w:pPr>
      <w:r>
        <w:t>1.完善区政府和区政府办公室承接各类文电的审核及运转办理工作；完善区政府和区政府办公室公文的印制发放、机要通信工作；完善区政府领导和办公室主要领导交办事项的督办、协调工作；完善区政府和区政府办公室印鉴和文书档案管理工作；完善区政府办公室保密工作；完善组织办理上级和本级人大代表建议和政协委员提案工作；完善接待处理上级和本级人大代表和政协委员来信来访工作；完善与区人大、政协的工作联系；参与区政府领导与人大代表、政协委员联系活动和接洽、服务工作。承办领导交办的其他事项。完善各项会议制度，规范会议程序，提高会议质量，提高协商水平。</w:t>
      </w:r>
    </w:p>
    <w:p>
      <w:pPr>
        <w:pStyle w:val="17"/>
      </w:pPr>
      <w:r>
        <w:t>2.不断加强绩效管理，采取措施预做准备，控制偏差，保证绩效目标的实现。</w:t>
      </w:r>
    </w:p>
    <w:p>
      <w:pPr>
        <w:pStyle w:val="17"/>
      </w:pPr>
      <w:r>
        <w:t>一是完善制度建设。制定预算绩效管理制度、资金管理办法、工作保障制度，为全年预算绩效目标的实现奠定制度基础。</w:t>
      </w:r>
    </w:p>
    <w:p>
      <w:pPr>
        <w:pStyle w:val="17"/>
      </w:pPr>
      <w:r>
        <w:t>二是加强支出管理。通过优化支出结构、编细编实预算、加快履行政府采购手续、尽快启动项目、及时支付资金、按规定及时下达资金等多种措施，确保支出进度达标。</w:t>
      </w:r>
    </w:p>
    <w:p>
      <w:pPr>
        <w:pStyle w:val="17"/>
      </w:pPr>
      <w:r>
        <w:t>三是加强绩效运行监控。按绩效预算管理要求开展绩效运行监控，发现问题及时采取措施，确保绩效目标如期保质实现。</w:t>
      </w:r>
    </w:p>
    <w:p>
      <w:pPr>
        <w:pStyle w:val="17"/>
      </w:pPr>
      <w:r>
        <w:t>四是做好绩效自评。按要求开展上年度部门预算绩效自评和重点评价工作，对评价中发现的问题及时整改，调整优化支出结构，提高财政资金使用效益。</w:t>
      </w:r>
    </w:p>
    <w:p>
      <w:pPr>
        <w:pStyle w:val="17"/>
      </w:pPr>
      <w:r>
        <w:t>五是规范财务资产管理。完善财务管理制度，严格审批程序，加强固定资产登记、使用和报废处置管理，做到支出合理，物尽其用。</w:t>
      </w:r>
    </w:p>
    <w:p>
      <w:pPr>
        <w:pStyle w:val="17"/>
      </w:pPr>
      <w:r>
        <w:t>六是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7"/>
      </w:pPr>
      <w:r>
        <w:t>七是加强宣传培训调研等。加强人员培训，提高职工业务素质；加强调研，提出优化财政资金配置、提高资金使用效益的意见；加大宣传力度，强化预算绩效管理意识，促进预算绩效管理水平进一步提升。</w:t>
      </w:r>
    </w:p>
    <w:p>
      <w:pPr>
        <w:pStyle w:val="17"/>
      </w:pPr>
    </w:p>
    <w:p>
      <w:pPr>
        <w:spacing w:before="0" w:after="0" w:line="240" w:lineRule="auto"/>
        <w:ind w:firstLine="0"/>
        <w:jc w:val="center"/>
        <w:outlineLvl w:val="9"/>
        <w:sectPr>
          <w:footerReference w:type="default" r:id="rId2"/>
          <w:footerReference w:type="even" r:id="rId3"/>
          <w:pgSz w:w="11900" w:h="16840"/>
          <w:pgMar w:top="1984" w:right="1304" w:bottom="1134" w:left="1304" w:header="720" w:footer="720" w:gutter="0"/>
          <w:pgNumType w:start="1"/>
          <w:docGrid w:linePitch="326" w:charSpace="0"/>
        </w:sectPr>
      </w:pPr>
      <w:r>
        <w:rPr>
          <w:rFonts w:asci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docGrid w:linePitch="326" w:charSpace="0"/>
        </w:sectPr>
      </w:pPr>
      <w:r>
        <w:rPr>
          <w:rFonts w:ascii="方正书宋_GBK" w:eastAsia="方正书宋_GBK" w:cs="方正书宋_GBK"/>
          <w:color w:val="000000"/>
          <w:sz w:val="21"/>
        </w:rPr>
        <w:t xml:space="preserve"> </w:t>
      </w:r>
    </w:p>
    <w:p>
      <w:pPr>
        <w:spacing w:before="0" w:after="0" w:line="240" w:lineRule="auto"/>
        <w:ind w:firstLine="0"/>
        <w:jc w:val="center"/>
        <w:outlineLvl w:val="9"/>
      </w:pPr>
      <w:r>
        <w:rPr>
          <w:rFonts w:asci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cs="方正仿宋_GBK"/>
          <w:color w:val="000000"/>
          <w:sz w:val="28"/>
        </w:rPr>
        <w:t>1.承接金融总部、上市培训、防范非法集资宣传、银企对接绩效目标表</w:t>
      </w:r>
      <w:bookmarkEnd w:id="3"/>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26"/>
        <w:gridCol w:w="1226"/>
        <w:gridCol w:w="1280"/>
        <w:gridCol w:w="1525"/>
        <w:gridCol w:w="1253"/>
        <w:gridCol w:w="1226"/>
        <w:gridCol w:w="1771"/>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434001唐山市路南区人民政府办公室本级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vAlign w:val="center"/>
          </w:tcPr>
          <w:p>
            <w:pPr>
              <w:pStyle w:val="20"/>
            </w:pPr>
            <w:r>
              <w:t>13020225P00000210003T</w:t>
            </w:r>
          </w:p>
        </w:tc>
        <w:tc>
          <w:tcPr>
            <w:tcW w:w="1587" w:type="dxa"/>
            <w:vAlign w:val="center"/>
          </w:tcPr>
          <w:p>
            <w:pPr>
              <w:pStyle w:val="21"/>
            </w:pPr>
            <w:r>
              <w:t>项目名称</w:t>
            </w:r>
          </w:p>
        </w:tc>
        <w:tc>
          <w:tcPr>
            <w:tcW w:w="4423" w:type="dxa"/>
            <w:gridSpan w:val="3"/>
            <w:vAlign w:val="center"/>
          </w:tcPr>
          <w:p>
            <w:pPr>
              <w:pStyle w:val="20"/>
            </w:pPr>
            <w:r>
              <w:t>承接金融总部、上市培训、防范非法集资宣传、银企对接</w:t>
            </w:r>
          </w:p>
        </w:tc>
      </w:tr>
      <w:tr>
        <w:trPr>
          <w:trHeight w:val="369"/>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5.00</w:t>
            </w:r>
          </w:p>
        </w:tc>
        <w:tc>
          <w:tcPr>
            <w:tcW w:w="1587" w:type="dxa"/>
            <w:vAlign w:val="center"/>
          </w:tcPr>
          <w:p>
            <w:pPr>
              <w:pStyle w:val="21"/>
            </w:pPr>
            <w:r>
              <w:t>其中：财政    资金</w:t>
            </w:r>
          </w:p>
        </w:tc>
        <w:tc>
          <w:tcPr>
            <w:tcW w:w="1304" w:type="dxa"/>
            <w:vAlign w:val="center"/>
          </w:tcPr>
          <w:p>
            <w:pPr>
              <w:pStyle w:val="20"/>
            </w:pPr>
            <w:r>
              <w:t>5.00</w:t>
            </w:r>
          </w:p>
        </w:tc>
        <w:tc>
          <w:tcPr>
            <w:tcW w:w="1276" w:type="dxa"/>
            <w:vAlign w:val="center"/>
          </w:tcPr>
          <w:p>
            <w:pPr>
              <w:pStyle w:val="21"/>
            </w:pPr>
            <w:r>
              <w:t>其他资金</w:t>
            </w:r>
          </w:p>
        </w:tc>
        <w:tc>
          <w:tcPr>
            <w:tcW w:w="1843" w:type="dxa"/>
            <w:vAlign w:val="center"/>
          </w:tcPr>
          <w:p>
            <w:pPr>
              <w:pStyle w:val="20"/>
            </w:pPr>
            <w:r>
              <w:t xml:space="preserve"> </w:t>
            </w:r>
          </w:p>
        </w:tc>
      </w:tr>
      <w:tr>
        <w:trPr>
          <w:trHeight w:val="369"/>
        </w:trPr>
        <w:tc>
          <w:tcPr>
            <w:tcW w:w="1276" w:type="dxa"/>
            <w:vMerge/>
          </w:tcPr>
          <w:p/>
        </w:tc>
        <w:tc>
          <w:tcPr>
            <w:tcW w:w="8618" w:type="dxa"/>
            <w:gridSpan w:val="6"/>
            <w:vAlign w:val="center"/>
          </w:tcPr>
          <w:p>
            <w:pPr>
              <w:pStyle w:val="20"/>
            </w:pPr>
            <w:r>
              <w:t>完成2025年金融各项目标任务</w:t>
            </w:r>
          </w:p>
        </w:tc>
      </w:tr>
      <w:tr>
        <w:trPr>
          <w:trHeight w:val="369"/>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rPr>
          <w:trHeight w:val="369"/>
        </w:trPr>
        <w:tc>
          <w:tcPr>
            <w:tcW w:w="1276" w:type="dxa"/>
            <w:vMerge/>
          </w:tcPr>
          <w:p/>
        </w:tc>
        <w:tc>
          <w:tcPr>
            <w:tcW w:w="2608" w:type="dxa"/>
            <w:gridSpan w:val="2"/>
            <w:vAlign w:val="center"/>
          </w:tcPr>
          <w:p>
            <w:pPr>
              <w:pStyle w:val="22"/>
            </w:pPr>
            <w:r>
              <w:t>30%</w:t>
            </w:r>
          </w:p>
        </w:tc>
        <w:tc>
          <w:tcPr>
            <w:tcW w:w="1587" w:type="dxa"/>
            <w:vAlign w:val="center"/>
          </w:tcPr>
          <w:p>
            <w:pPr>
              <w:pStyle w:val="22"/>
            </w:pPr>
            <w:r>
              <w:t>30%</w:t>
            </w:r>
          </w:p>
        </w:tc>
        <w:tc>
          <w:tcPr>
            <w:tcW w:w="1304" w:type="dxa"/>
            <w:vAlign w:val="center"/>
          </w:tcPr>
          <w:p>
            <w:pPr>
              <w:pStyle w:val="22"/>
            </w:pPr>
            <w:r>
              <w:t>30%</w:t>
            </w:r>
          </w:p>
        </w:tc>
        <w:tc>
          <w:tcPr>
            <w:tcW w:w="3119" w:type="dxa"/>
            <w:gridSpan w:val="2"/>
            <w:vAlign w:val="center"/>
          </w:tcPr>
          <w:p>
            <w:pPr>
              <w:pStyle w:val="22"/>
            </w:pPr>
            <w:r>
              <w:t>10%</w:t>
            </w:r>
          </w:p>
        </w:tc>
      </w:tr>
      <w:tr>
        <w:trPr>
          <w:trHeight w:val="369"/>
        </w:trPr>
        <w:tc>
          <w:tcPr>
            <w:tcW w:w="1276" w:type="dxa"/>
            <w:vAlign w:val="center"/>
          </w:tcPr>
          <w:p>
            <w:pPr>
              <w:pStyle w:val="21"/>
            </w:pPr>
            <w:r>
              <w:t>绩效目标</w:t>
            </w:r>
          </w:p>
        </w:tc>
        <w:tc>
          <w:tcPr>
            <w:tcW w:w="8618" w:type="dxa"/>
            <w:gridSpan w:val="6"/>
            <w:vAlign w:val="center"/>
          </w:tcPr>
          <w:p>
            <w:pPr>
              <w:pStyle w:val="20"/>
            </w:pPr>
            <w:r>
              <w:t>1.保障日常工作顺利开展</w:t>
            </w:r>
          </w:p>
          <w:p>
            <w:pPr>
              <w:pStyle w:val="20"/>
            </w:pPr>
            <w:r>
              <w:t>2.及时足额拨付公用经费</w:t>
            </w:r>
          </w:p>
        </w:tc>
      </w:tr>
    </w:tbl>
    <w:p>
      <w:pPr>
        <w:spacing w:before="0" w:after="0" w:line="2" w:lineRule="exact"/>
        <w:ind w:firstLine="0"/>
        <w:jc w:val="center"/>
        <w:outlineLvl w:val="9"/>
      </w:pPr>
      <w:r>
        <w:rPr>
          <w:rFonts w:ascii="方正书宋_GBK" w:eastAsia="方正书宋_GBK" w:cs="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26"/>
        <w:gridCol w:w="1226"/>
        <w:gridCol w:w="1280"/>
        <w:gridCol w:w="2778"/>
        <w:gridCol w:w="1226"/>
        <w:gridCol w:w="1771"/>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购买数量</w:t>
            </w:r>
          </w:p>
        </w:tc>
        <w:tc>
          <w:tcPr>
            <w:tcW w:w="2891" w:type="dxa"/>
            <w:vAlign w:val="center"/>
          </w:tcPr>
          <w:p>
            <w:pPr>
              <w:pStyle w:val="20"/>
            </w:pPr>
            <w:r>
              <w:t>用于购买宣传非法集资等宣传用品数量</w:t>
            </w:r>
          </w:p>
        </w:tc>
        <w:tc>
          <w:tcPr>
            <w:tcW w:w="1276" w:type="dxa"/>
            <w:vAlign w:val="center"/>
          </w:tcPr>
          <w:p>
            <w:pPr>
              <w:pStyle w:val="20"/>
            </w:pPr>
            <w:r>
              <w:t>实际宣传人数</w:t>
            </w:r>
          </w:p>
        </w:tc>
        <w:tc>
          <w:tcPr>
            <w:tcW w:w="1843" w:type="dxa"/>
            <w:vAlign w:val="center"/>
          </w:tcPr>
          <w:p>
            <w:pPr>
              <w:pStyle w:val="20"/>
            </w:pPr>
            <w:r>
              <w:t>工作安排及文件</w:t>
            </w:r>
          </w:p>
        </w:tc>
      </w:tr>
      <w:tr>
        <w:trPr>
          <w:trHeight w:val="369"/>
        </w:trPr>
        <w:tc>
          <w:tcPr>
            <w:tcW w:w="1276" w:type="dxa"/>
            <w:vMerge/>
            <w:vAlign w:val="center"/>
          </w:tcPr>
          <w:p/>
        </w:tc>
        <w:tc>
          <w:tcPr>
            <w:tcW w:w="1276" w:type="dxa"/>
            <w:vAlign w:val="center"/>
          </w:tcPr>
          <w:p>
            <w:pPr>
              <w:pStyle w:val="20"/>
            </w:pPr>
            <w:r>
              <w:t>质量指标</w:t>
            </w:r>
          </w:p>
        </w:tc>
        <w:tc>
          <w:tcPr>
            <w:tcW w:w="1332" w:type="dxa"/>
            <w:vAlign w:val="center"/>
          </w:tcPr>
          <w:p>
            <w:pPr>
              <w:pStyle w:val="20"/>
            </w:pPr>
            <w:r>
              <w:t>文件印刷合格率</w:t>
            </w:r>
          </w:p>
        </w:tc>
        <w:tc>
          <w:tcPr>
            <w:tcW w:w="2891" w:type="dxa"/>
            <w:vAlign w:val="center"/>
          </w:tcPr>
          <w:p>
            <w:pPr>
              <w:pStyle w:val="20"/>
            </w:pPr>
            <w:r>
              <w:t>文件印刷合格率</w:t>
            </w:r>
          </w:p>
        </w:tc>
        <w:tc>
          <w:tcPr>
            <w:tcW w:w="1276" w:type="dxa"/>
            <w:vAlign w:val="center"/>
          </w:tcPr>
          <w:p>
            <w:pPr>
              <w:pStyle w:val="20"/>
            </w:pPr>
            <w:r>
              <w:t>≥95%</w:t>
            </w:r>
          </w:p>
        </w:tc>
        <w:tc>
          <w:tcPr>
            <w:tcW w:w="1843" w:type="dxa"/>
            <w:vAlign w:val="center"/>
          </w:tcPr>
          <w:p>
            <w:pPr>
              <w:pStyle w:val="20"/>
            </w:pPr>
            <w:r>
              <w:t>工作安排及文件</w:t>
            </w:r>
          </w:p>
        </w:tc>
      </w:tr>
      <w:tr>
        <w:trPr>
          <w:trHeight w:val="369"/>
        </w:trPr>
        <w:tc>
          <w:tcPr>
            <w:tcW w:w="1276" w:type="dxa"/>
            <w:vMerge/>
            <w:vAlign w:val="center"/>
          </w:tcPr>
          <w:p/>
        </w:tc>
        <w:tc>
          <w:tcPr>
            <w:tcW w:w="1276" w:type="dxa"/>
            <w:vAlign w:val="center"/>
          </w:tcPr>
          <w:p>
            <w:pPr>
              <w:pStyle w:val="20"/>
            </w:pPr>
            <w:r>
              <w:t>时效指标</w:t>
            </w:r>
          </w:p>
        </w:tc>
        <w:tc>
          <w:tcPr>
            <w:tcW w:w="1332" w:type="dxa"/>
            <w:vAlign w:val="center"/>
          </w:tcPr>
          <w:p>
            <w:pPr>
              <w:pStyle w:val="20"/>
            </w:pPr>
            <w:r>
              <w:t>按时间进度完成</w:t>
            </w:r>
          </w:p>
        </w:tc>
        <w:tc>
          <w:tcPr>
            <w:tcW w:w="2891" w:type="dxa"/>
            <w:vAlign w:val="center"/>
          </w:tcPr>
          <w:p>
            <w:pPr>
              <w:pStyle w:val="20"/>
            </w:pPr>
            <w:r>
              <w:t>按时间进度使用公用经费</w:t>
            </w:r>
          </w:p>
        </w:tc>
        <w:tc>
          <w:tcPr>
            <w:tcW w:w="1276" w:type="dxa"/>
            <w:vAlign w:val="center"/>
          </w:tcPr>
          <w:p>
            <w:pPr>
              <w:pStyle w:val="20"/>
            </w:pPr>
            <w:r>
              <w:t>时间进度完成</w:t>
            </w:r>
          </w:p>
        </w:tc>
        <w:tc>
          <w:tcPr>
            <w:tcW w:w="1843" w:type="dxa"/>
            <w:vAlign w:val="center"/>
          </w:tcPr>
          <w:p>
            <w:pPr>
              <w:pStyle w:val="20"/>
            </w:pPr>
            <w:r>
              <w:t>工作安排及文件</w:t>
            </w:r>
          </w:p>
        </w:tc>
      </w:tr>
      <w:tr>
        <w:trPr>
          <w:trHeight w:val="369"/>
        </w:trPr>
        <w:tc>
          <w:tcPr>
            <w:tcW w:w="1276" w:type="dxa"/>
            <w:vMerge/>
            <w:vAlign w:val="center"/>
          </w:tcPr>
          <w:p/>
        </w:tc>
        <w:tc>
          <w:tcPr>
            <w:tcW w:w="1276" w:type="dxa"/>
            <w:vAlign w:val="center"/>
          </w:tcPr>
          <w:p>
            <w:pPr>
              <w:pStyle w:val="20"/>
            </w:pPr>
            <w:r>
              <w:t>成本指标</w:t>
            </w:r>
          </w:p>
        </w:tc>
        <w:tc>
          <w:tcPr>
            <w:tcW w:w="1332" w:type="dxa"/>
            <w:vAlign w:val="center"/>
          </w:tcPr>
          <w:p>
            <w:pPr>
              <w:pStyle w:val="20"/>
            </w:pPr>
            <w:r>
              <w:t>按标准安排经费</w:t>
            </w:r>
          </w:p>
        </w:tc>
        <w:tc>
          <w:tcPr>
            <w:tcW w:w="2891" w:type="dxa"/>
            <w:vAlign w:val="center"/>
          </w:tcPr>
          <w:p>
            <w:pPr>
              <w:pStyle w:val="20"/>
            </w:pPr>
            <w:r>
              <w:t>公用经费安排标准</w:t>
            </w:r>
          </w:p>
        </w:tc>
        <w:tc>
          <w:tcPr>
            <w:tcW w:w="1276" w:type="dxa"/>
            <w:vAlign w:val="center"/>
          </w:tcPr>
          <w:p>
            <w:pPr>
              <w:pStyle w:val="20"/>
            </w:pPr>
            <w:r>
              <w:t>5万元</w:t>
            </w:r>
          </w:p>
        </w:tc>
        <w:tc>
          <w:tcPr>
            <w:tcW w:w="1843" w:type="dxa"/>
            <w:vAlign w:val="center"/>
          </w:tcPr>
          <w:p>
            <w:pPr>
              <w:pStyle w:val="20"/>
            </w:pPr>
            <w:r>
              <w:t>工作安排及文件</w:t>
            </w:r>
          </w:p>
        </w:tc>
      </w:tr>
      <w:tr>
        <w:trPr>
          <w:trHeight w:val="369"/>
        </w:trPr>
        <w:tc>
          <w:tcPr>
            <w:tcW w:w="1276" w:type="dxa"/>
            <w:vMerge w:val="restart"/>
            <w:vAlign w:val="center"/>
          </w:tcPr>
          <w:p>
            <w:pPr>
              <w:pStyle w:val="22"/>
            </w:pPr>
            <w:r>
              <w:t>效益指标</w:t>
            </w:r>
          </w:p>
        </w:tc>
        <w:tc>
          <w:tcPr>
            <w:tcW w:w="1276" w:type="dxa"/>
            <w:vAlign w:val="center"/>
          </w:tcPr>
          <w:p>
            <w:pPr>
              <w:pStyle w:val="20"/>
            </w:pPr>
            <w:r>
              <w:t>经济效益指标</w:t>
            </w:r>
          </w:p>
        </w:tc>
        <w:tc>
          <w:tcPr>
            <w:tcW w:w="1332" w:type="dxa"/>
            <w:vAlign w:val="center"/>
          </w:tcPr>
          <w:p>
            <w:pPr>
              <w:pStyle w:val="20"/>
            </w:pPr>
            <w:r>
              <w:t>优化支出效益</w:t>
            </w:r>
          </w:p>
        </w:tc>
        <w:tc>
          <w:tcPr>
            <w:tcW w:w="2891" w:type="dxa"/>
            <w:vAlign w:val="center"/>
          </w:tcPr>
          <w:p>
            <w:pPr>
              <w:pStyle w:val="20"/>
            </w:pPr>
            <w:r>
              <w:t>不断降低各项支出成本，提高机关服务效能</w:t>
            </w:r>
          </w:p>
        </w:tc>
        <w:tc>
          <w:tcPr>
            <w:tcW w:w="1276" w:type="dxa"/>
            <w:vAlign w:val="center"/>
          </w:tcPr>
          <w:p>
            <w:pPr>
              <w:pStyle w:val="20"/>
            </w:pPr>
            <w:r>
              <w:t>不断降低各项支出成本，提高机关服务效能</w:t>
            </w:r>
          </w:p>
        </w:tc>
        <w:tc>
          <w:tcPr>
            <w:tcW w:w="1843" w:type="dxa"/>
            <w:vAlign w:val="center"/>
          </w:tcPr>
          <w:p>
            <w:pPr>
              <w:pStyle w:val="20"/>
            </w:pPr>
            <w:r>
              <w:t>工作安排及文件</w:t>
            </w:r>
          </w:p>
        </w:tc>
      </w:tr>
      <w:tr>
        <w:trPr>
          <w:trHeight w:val="369"/>
        </w:trPr>
        <w:tc>
          <w:tcPr>
            <w:tcW w:w="1276" w:type="dxa"/>
            <w:vMerge/>
            <w:vAlign w:val="center"/>
          </w:tcPr>
          <w:p/>
        </w:tc>
        <w:tc>
          <w:tcPr>
            <w:tcW w:w="1276" w:type="dxa"/>
            <w:vAlign w:val="center"/>
          </w:tcPr>
          <w:p>
            <w:pPr>
              <w:pStyle w:val="20"/>
            </w:pPr>
            <w:r>
              <w:t>社会效益指标</w:t>
            </w:r>
          </w:p>
        </w:tc>
        <w:tc>
          <w:tcPr>
            <w:tcW w:w="1332" w:type="dxa"/>
            <w:vAlign w:val="center"/>
          </w:tcPr>
          <w:p>
            <w:pPr>
              <w:pStyle w:val="20"/>
            </w:pPr>
            <w:r>
              <w:t>减少受威胁群众数量</w:t>
            </w:r>
          </w:p>
        </w:tc>
        <w:tc>
          <w:tcPr>
            <w:tcW w:w="2891" w:type="dxa"/>
            <w:vAlign w:val="center"/>
          </w:tcPr>
          <w:p>
            <w:pPr>
              <w:pStyle w:val="20"/>
            </w:pPr>
            <w:r>
              <w:t>减少受威胁群众数量</w:t>
            </w:r>
          </w:p>
        </w:tc>
        <w:tc>
          <w:tcPr>
            <w:tcW w:w="1276" w:type="dxa"/>
            <w:vAlign w:val="center"/>
          </w:tcPr>
          <w:p>
            <w:pPr>
              <w:pStyle w:val="20"/>
            </w:pPr>
            <w:r>
              <w:t>最大范围</w:t>
            </w:r>
          </w:p>
        </w:tc>
        <w:tc>
          <w:tcPr>
            <w:tcW w:w="1843" w:type="dxa"/>
            <w:vAlign w:val="center"/>
          </w:tcPr>
          <w:p>
            <w:pPr>
              <w:pStyle w:val="20"/>
            </w:pPr>
            <w:r>
              <w:t>工作安排及文件</w:t>
            </w:r>
          </w:p>
        </w:tc>
      </w:tr>
      <w:tr>
        <w:trPr>
          <w:trHeight w:val="369"/>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满意度</w:t>
            </w:r>
          </w:p>
        </w:tc>
        <w:tc>
          <w:tcPr>
            <w:tcW w:w="2891" w:type="dxa"/>
            <w:vAlign w:val="center"/>
          </w:tcPr>
          <w:p>
            <w:pPr>
              <w:pStyle w:val="20"/>
            </w:pPr>
            <w:r>
              <w:t>区直各单位工作人员满意度</w:t>
            </w:r>
          </w:p>
        </w:tc>
        <w:tc>
          <w:tcPr>
            <w:tcW w:w="1276" w:type="dxa"/>
            <w:vAlign w:val="center"/>
          </w:tcPr>
          <w:p>
            <w:pPr>
              <w:pStyle w:val="20"/>
            </w:pPr>
            <w:r>
              <w:t>≥95%</w:t>
            </w:r>
          </w:p>
        </w:tc>
        <w:tc>
          <w:tcPr>
            <w:tcW w:w="1843" w:type="dxa"/>
            <w:vAlign w:val="center"/>
          </w:tcPr>
          <w:p>
            <w:pPr>
              <w:pStyle w:val="20"/>
            </w:pPr>
            <w:r>
              <w:t>工作安排及文件</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r>
        <w:rPr>
          <w:rFonts w:asci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cs="方正仿宋_GBK"/>
          <w:color w:val="000000"/>
          <w:sz w:val="28"/>
        </w:rPr>
        <w:t>2.云视频会议终端服务费绩效目标表</w:t>
      </w:r>
      <w:bookmarkEnd w:id="4"/>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26"/>
        <w:gridCol w:w="1226"/>
        <w:gridCol w:w="1280"/>
        <w:gridCol w:w="1525"/>
        <w:gridCol w:w="1253"/>
        <w:gridCol w:w="1226"/>
        <w:gridCol w:w="1771"/>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434001唐山市路南区人民政府办公室本级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vAlign w:val="center"/>
          </w:tcPr>
          <w:p>
            <w:pPr>
              <w:pStyle w:val="20"/>
            </w:pPr>
            <w:r>
              <w:t>13020225P00000610002X</w:t>
            </w:r>
          </w:p>
        </w:tc>
        <w:tc>
          <w:tcPr>
            <w:tcW w:w="1587" w:type="dxa"/>
            <w:vAlign w:val="center"/>
          </w:tcPr>
          <w:p>
            <w:pPr>
              <w:pStyle w:val="21"/>
            </w:pPr>
            <w:r>
              <w:t>项目名称</w:t>
            </w:r>
          </w:p>
        </w:tc>
        <w:tc>
          <w:tcPr>
            <w:tcW w:w="4423" w:type="dxa"/>
            <w:gridSpan w:val="3"/>
            <w:vAlign w:val="center"/>
          </w:tcPr>
          <w:p>
            <w:pPr>
              <w:pStyle w:val="20"/>
            </w:pPr>
            <w:r>
              <w:t>云视频会议终端服务费</w:t>
            </w:r>
          </w:p>
        </w:tc>
      </w:tr>
      <w:tr>
        <w:trPr>
          <w:trHeight w:val="369"/>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11.80</w:t>
            </w:r>
          </w:p>
        </w:tc>
        <w:tc>
          <w:tcPr>
            <w:tcW w:w="1587" w:type="dxa"/>
            <w:vAlign w:val="center"/>
          </w:tcPr>
          <w:p>
            <w:pPr>
              <w:pStyle w:val="21"/>
            </w:pPr>
            <w:r>
              <w:t>其中：财政    资金</w:t>
            </w:r>
          </w:p>
        </w:tc>
        <w:tc>
          <w:tcPr>
            <w:tcW w:w="1304" w:type="dxa"/>
            <w:vAlign w:val="center"/>
          </w:tcPr>
          <w:p>
            <w:pPr>
              <w:pStyle w:val="20"/>
            </w:pPr>
            <w:r>
              <w:t>11.80</w:t>
            </w:r>
          </w:p>
        </w:tc>
        <w:tc>
          <w:tcPr>
            <w:tcW w:w="1276" w:type="dxa"/>
            <w:vAlign w:val="center"/>
          </w:tcPr>
          <w:p>
            <w:pPr>
              <w:pStyle w:val="21"/>
            </w:pPr>
            <w:r>
              <w:t>其他资金</w:t>
            </w:r>
          </w:p>
        </w:tc>
        <w:tc>
          <w:tcPr>
            <w:tcW w:w="1843" w:type="dxa"/>
            <w:vAlign w:val="center"/>
          </w:tcPr>
          <w:p>
            <w:pPr>
              <w:pStyle w:val="20"/>
            </w:pPr>
            <w:r>
              <w:t xml:space="preserve"> </w:t>
            </w:r>
          </w:p>
        </w:tc>
      </w:tr>
      <w:tr>
        <w:trPr>
          <w:trHeight w:val="369"/>
        </w:trPr>
        <w:tc>
          <w:tcPr>
            <w:tcW w:w="1276" w:type="dxa"/>
            <w:vMerge/>
          </w:tcPr>
          <w:p/>
        </w:tc>
        <w:tc>
          <w:tcPr>
            <w:tcW w:w="8618" w:type="dxa"/>
            <w:gridSpan w:val="6"/>
            <w:vAlign w:val="center"/>
          </w:tcPr>
          <w:p>
            <w:pPr>
              <w:pStyle w:val="20"/>
            </w:pPr>
            <w:r>
              <w:t>对本合同项下的服务进行技术支持和维护</w:t>
            </w:r>
          </w:p>
        </w:tc>
      </w:tr>
      <w:tr>
        <w:trPr>
          <w:trHeight w:val="369"/>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rPr>
          <w:trHeight w:val="369"/>
        </w:trPr>
        <w:tc>
          <w:tcPr>
            <w:tcW w:w="1276" w:type="dxa"/>
            <w:vMerge/>
          </w:tcPr>
          <w:p/>
        </w:tc>
        <w:tc>
          <w:tcPr>
            <w:tcW w:w="2608" w:type="dxa"/>
            <w:gridSpan w:val="2"/>
            <w:vAlign w:val="center"/>
          </w:tcPr>
          <w:p>
            <w:pPr>
              <w:pStyle w:val="22"/>
            </w:pPr>
            <w:r>
              <w:t>30%</w:t>
            </w:r>
          </w:p>
        </w:tc>
        <w:tc>
          <w:tcPr>
            <w:tcW w:w="1587" w:type="dxa"/>
            <w:vAlign w:val="center"/>
          </w:tcPr>
          <w:p>
            <w:pPr>
              <w:pStyle w:val="22"/>
            </w:pPr>
            <w:r>
              <w:t>30%</w:t>
            </w:r>
          </w:p>
        </w:tc>
        <w:tc>
          <w:tcPr>
            <w:tcW w:w="1304" w:type="dxa"/>
            <w:vAlign w:val="center"/>
          </w:tcPr>
          <w:p>
            <w:pPr>
              <w:pStyle w:val="22"/>
            </w:pPr>
            <w:r>
              <w:t>30%</w:t>
            </w:r>
          </w:p>
        </w:tc>
        <w:tc>
          <w:tcPr>
            <w:tcW w:w="3119" w:type="dxa"/>
            <w:gridSpan w:val="2"/>
            <w:vAlign w:val="center"/>
          </w:tcPr>
          <w:p>
            <w:pPr>
              <w:pStyle w:val="22"/>
            </w:pPr>
            <w:r>
              <w:t>10%</w:t>
            </w:r>
          </w:p>
        </w:tc>
      </w:tr>
      <w:tr>
        <w:trPr>
          <w:trHeight w:val="369"/>
        </w:trPr>
        <w:tc>
          <w:tcPr>
            <w:tcW w:w="1276" w:type="dxa"/>
            <w:vAlign w:val="center"/>
          </w:tcPr>
          <w:p>
            <w:pPr>
              <w:pStyle w:val="21"/>
            </w:pPr>
            <w:r>
              <w:t>绩效目标</w:t>
            </w:r>
          </w:p>
        </w:tc>
        <w:tc>
          <w:tcPr>
            <w:tcW w:w="8618" w:type="dxa"/>
            <w:gridSpan w:val="6"/>
            <w:vAlign w:val="center"/>
          </w:tcPr>
          <w:p>
            <w:pPr>
              <w:pStyle w:val="20"/>
            </w:pPr>
            <w:r>
              <w:t>1.保障日常工作顺利开展</w:t>
            </w:r>
          </w:p>
          <w:p>
            <w:pPr>
              <w:pStyle w:val="20"/>
            </w:pPr>
            <w:r>
              <w:t>2.及时足额拨付公用经费</w:t>
            </w:r>
          </w:p>
        </w:tc>
      </w:tr>
    </w:tbl>
    <w:p>
      <w:pPr>
        <w:spacing w:before="0" w:after="0" w:line="2" w:lineRule="exact"/>
        <w:ind w:firstLine="0"/>
        <w:jc w:val="center"/>
        <w:outlineLvl w:val="9"/>
      </w:pPr>
      <w:r>
        <w:rPr>
          <w:rFonts w:ascii="方正书宋_GBK" w:eastAsia="方正书宋_GBK" w:cs="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26"/>
        <w:gridCol w:w="1226"/>
        <w:gridCol w:w="1280"/>
        <w:gridCol w:w="2778"/>
        <w:gridCol w:w="1226"/>
        <w:gridCol w:w="1771"/>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购买数量</w:t>
            </w:r>
          </w:p>
        </w:tc>
        <w:tc>
          <w:tcPr>
            <w:tcW w:w="2891" w:type="dxa"/>
            <w:vAlign w:val="center"/>
          </w:tcPr>
          <w:p>
            <w:pPr>
              <w:pStyle w:val="20"/>
            </w:pPr>
            <w:r>
              <w:t>用于购买视频点位</w:t>
            </w:r>
          </w:p>
        </w:tc>
        <w:tc>
          <w:tcPr>
            <w:tcW w:w="1276" w:type="dxa"/>
            <w:vAlign w:val="center"/>
          </w:tcPr>
          <w:p>
            <w:pPr>
              <w:pStyle w:val="20"/>
            </w:pPr>
            <w:r>
              <w:t>≥128个</w:t>
            </w:r>
          </w:p>
        </w:tc>
        <w:tc>
          <w:tcPr>
            <w:tcW w:w="1843" w:type="dxa"/>
            <w:vAlign w:val="center"/>
          </w:tcPr>
          <w:p>
            <w:pPr>
              <w:pStyle w:val="20"/>
            </w:pPr>
            <w:r>
              <w:t>合同文件</w:t>
            </w:r>
          </w:p>
        </w:tc>
      </w:tr>
      <w:tr>
        <w:trPr>
          <w:trHeight w:val="369"/>
        </w:trPr>
        <w:tc>
          <w:tcPr>
            <w:tcW w:w="1276" w:type="dxa"/>
            <w:vMerge/>
            <w:vAlign w:val="center"/>
          </w:tcPr>
          <w:p/>
        </w:tc>
        <w:tc>
          <w:tcPr>
            <w:tcW w:w="1276" w:type="dxa"/>
            <w:vAlign w:val="center"/>
          </w:tcPr>
          <w:p>
            <w:pPr>
              <w:pStyle w:val="20"/>
            </w:pPr>
            <w:r>
              <w:t>质量指标</w:t>
            </w:r>
          </w:p>
        </w:tc>
        <w:tc>
          <w:tcPr>
            <w:tcW w:w="1332" w:type="dxa"/>
            <w:vAlign w:val="center"/>
          </w:tcPr>
          <w:p>
            <w:pPr>
              <w:pStyle w:val="20"/>
            </w:pPr>
            <w:r>
              <w:t>使用率</w:t>
            </w:r>
          </w:p>
        </w:tc>
        <w:tc>
          <w:tcPr>
            <w:tcW w:w="2891" w:type="dxa"/>
            <w:vAlign w:val="center"/>
          </w:tcPr>
          <w:p>
            <w:pPr>
              <w:pStyle w:val="20"/>
            </w:pPr>
            <w:r>
              <w:t>公用经费使用金额占预算安排的比例</w:t>
            </w:r>
          </w:p>
        </w:tc>
        <w:tc>
          <w:tcPr>
            <w:tcW w:w="1276" w:type="dxa"/>
            <w:vAlign w:val="center"/>
          </w:tcPr>
          <w:p>
            <w:pPr>
              <w:pStyle w:val="20"/>
            </w:pPr>
            <w:r>
              <w:t>≥90%</w:t>
            </w:r>
          </w:p>
        </w:tc>
        <w:tc>
          <w:tcPr>
            <w:tcW w:w="1843" w:type="dxa"/>
            <w:vAlign w:val="center"/>
          </w:tcPr>
          <w:p>
            <w:pPr>
              <w:pStyle w:val="20"/>
            </w:pPr>
            <w:r>
              <w:t>合同文件</w:t>
            </w:r>
          </w:p>
        </w:tc>
      </w:tr>
      <w:tr>
        <w:trPr>
          <w:trHeight w:val="369"/>
        </w:trPr>
        <w:tc>
          <w:tcPr>
            <w:tcW w:w="1276" w:type="dxa"/>
            <w:vMerge/>
            <w:vAlign w:val="center"/>
          </w:tcPr>
          <w:p/>
        </w:tc>
        <w:tc>
          <w:tcPr>
            <w:tcW w:w="1276" w:type="dxa"/>
            <w:vAlign w:val="center"/>
          </w:tcPr>
          <w:p>
            <w:pPr>
              <w:pStyle w:val="20"/>
            </w:pPr>
            <w:r>
              <w:t>时效指标</w:t>
            </w:r>
          </w:p>
        </w:tc>
        <w:tc>
          <w:tcPr>
            <w:tcW w:w="1332" w:type="dxa"/>
            <w:vAlign w:val="center"/>
          </w:tcPr>
          <w:p>
            <w:pPr>
              <w:pStyle w:val="20"/>
            </w:pPr>
            <w:r>
              <w:t>按时间进度完成</w:t>
            </w:r>
          </w:p>
        </w:tc>
        <w:tc>
          <w:tcPr>
            <w:tcW w:w="2891" w:type="dxa"/>
            <w:vAlign w:val="center"/>
          </w:tcPr>
          <w:p>
            <w:pPr>
              <w:pStyle w:val="20"/>
            </w:pPr>
            <w:r>
              <w:t>按时间进度使用公用经费</w:t>
            </w:r>
          </w:p>
        </w:tc>
        <w:tc>
          <w:tcPr>
            <w:tcW w:w="1276" w:type="dxa"/>
            <w:vAlign w:val="center"/>
          </w:tcPr>
          <w:p>
            <w:pPr>
              <w:pStyle w:val="20"/>
            </w:pPr>
            <w:r>
              <w:t>时间进度完成</w:t>
            </w:r>
          </w:p>
        </w:tc>
        <w:tc>
          <w:tcPr>
            <w:tcW w:w="1843" w:type="dxa"/>
            <w:vAlign w:val="center"/>
          </w:tcPr>
          <w:p>
            <w:pPr>
              <w:pStyle w:val="20"/>
            </w:pPr>
            <w:r>
              <w:t>合同文件</w:t>
            </w:r>
          </w:p>
        </w:tc>
      </w:tr>
      <w:tr>
        <w:trPr>
          <w:trHeight w:val="369"/>
        </w:trPr>
        <w:tc>
          <w:tcPr>
            <w:tcW w:w="1276" w:type="dxa"/>
            <w:vMerge/>
            <w:vAlign w:val="center"/>
          </w:tcPr>
          <w:p/>
        </w:tc>
        <w:tc>
          <w:tcPr>
            <w:tcW w:w="1276" w:type="dxa"/>
            <w:vAlign w:val="center"/>
          </w:tcPr>
          <w:p>
            <w:pPr>
              <w:pStyle w:val="20"/>
            </w:pPr>
            <w:r>
              <w:t>成本指标</w:t>
            </w:r>
          </w:p>
        </w:tc>
        <w:tc>
          <w:tcPr>
            <w:tcW w:w="1332" w:type="dxa"/>
            <w:vAlign w:val="center"/>
          </w:tcPr>
          <w:p>
            <w:pPr>
              <w:pStyle w:val="20"/>
            </w:pPr>
            <w:r>
              <w:t>按标准安排经费</w:t>
            </w:r>
          </w:p>
        </w:tc>
        <w:tc>
          <w:tcPr>
            <w:tcW w:w="2891" w:type="dxa"/>
            <w:vAlign w:val="center"/>
          </w:tcPr>
          <w:p>
            <w:pPr>
              <w:pStyle w:val="20"/>
            </w:pPr>
            <w:r>
              <w:t>公用经费安排标准</w:t>
            </w:r>
          </w:p>
        </w:tc>
        <w:tc>
          <w:tcPr>
            <w:tcW w:w="1276" w:type="dxa"/>
            <w:vAlign w:val="center"/>
          </w:tcPr>
          <w:p>
            <w:pPr>
              <w:pStyle w:val="20"/>
            </w:pPr>
            <w:r>
              <w:t>11.88万元</w:t>
            </w:r>
          </w:p>
        </w:tc>
        <w:tc>
          <w:tcPr>
            <w:tcW w:w="1843" w:type="dxa"/>
            <w:vAlign w:val="center"/>
          </w:tcPr>
          <w:p>
            <w:pPr>
              <w:pStyle w:val="20"/>
            </w:pPr>
            <w:r>
              <w:t>合同文件</w:t>
            </w:r>
          </w:p>
        </w:tc>
      </w:tr>
      <w:tr>
        <w:trPr>
          <w:trHeight w:val="369"/>
        </w:trPr>
        <w:tc>
          <w:tcPr>
            <w:tcW w:w="1276" w:type="dxa"/>
            <w:vMerge w:val="restart"/>
            <w:vAlign w:val="center"/>
          </w:tcPr>
          <w:p>
            <w:pPr>
              <w:pStyle w:val="22"/>
            </w:pPr>
            <w:r>
              <w:t>效益指标</w:t>
            </w:r>
          </w:p>
        </w:tc>
        <w:tc>
          <w:tcPr>
            <w:tcW w:w="1276" w:type="dxa"/>
            <w:vAlign w:val="center"/>
          </w:tcPr>
          <w:p>
            <w:pPr>
              <w:pStyle w:val="20"/>
            </w:pPr>
            <w:r>
              <w:t>经济效益指标</w:t>
            </w:r>
          </w:p>
        </w:tc>
        <w:tc>
          <w:tcPr>
            <w:tcW w:w="1332" w:type="dxa"/>
            <w:vAlign w:val="center"/>
          </w:tcPr>
          <w:p>
            <w:pPr>
              <w:pStyle w:val="20"/>
            </w:pPr>
            <w:r>
              <w:t>优化支出效益</w:t>
            </w:r>
          </w:p>
        </w:tc>
        <w:tc>
          <w:tcPr>
            <w:tcW w:w="2891" w:type="dxa"/>
            <w:vAlign w:val="center"/>
          </w:tcPr>
          <w:p>
            <w:pPr>
              <w:pStyle w:val="20"/>
            </w:pPr>
            <w:r>
              <w:t>不断降低各项支出成本，提高机关服务效能</w:t>
            </w:r>
          </w:p>
        </w:tc>
        <w:tc>
          <w:tcPr>
            <w:tcW w:w="1276" w:type="dxa"/>
            <w:vAlign w:val="center"/>
          </w:tcPr>
          <w:p>
            <w:pPr>
              <w:pStyle w:val="20"/>
            </w:pPr>
            <w:r>
              <w:t>不断降低各项支出成本，提高机关服务效能</w:t>
            </w:r>
          </w:p>
        </w:tc>
        <w:tc>
          <w:tcPr>
            <w:tcW w:w="1843" w:type="dxa"/>
            <w:vAlign w:val="center"/>
          </w:tcPr>
          <w:p>
            <w:pPr>
              <w:pStyle w:val="20"/>
            </w:pPr>
            <w:r>
              <w:t>合同文件</w:t>
            </w:r>
          </w:p>
        </w:tc>
      </w:tr>
      <w:tr>
        <w:trPr>
          <w:trHeight w:val="369"/>
        </w:trPr>
        <w:tc>
          <w:tcPr>
            <w:tcW w:w="1276" w:type="dxa"/>
            <w:vMerge/>
            <w:vAlign w:val="center"/>
          </w:tcPr>
          <w:p/>
        </w:tc>
        <w:tc>
          <w:tcPr>
            <w:tcW w:w="1276" w:type="dxa"/>
            <w:vAlign w:val="center"/>
          </w:tcPr>
          <w:p>
            <w:pPr>
              <w:pStyle w:val="20"/>
            </w:pPr>
            <w:r>
              <w:t>可持续影响指标</w:t>
            </w:r>
          </w:p>
        </w:tc>
        <w:tc>
          <w:tcPr>
            <w:tcW w:w="1332" w:type="dxa"/>
            <w:vAlign w:val="center"/>
          </w:tcPr>
          <w:p>
            <w:pPr>
              <w:pStyle w:val="20"/>
            </w:pPr>
            <w:r>
              <w:t>高效便捷</w:t>
            </w:r>
          </w:p>
        </w:tc>
        <w:tc>
          <w:tcPr>
            <w:tcW w:w="2891" w:type="dxa"/>
            <w:vAlign w:val="center"/>
          </w:tcPr>
          <w:p>
            <w:pPr>
              <w:pStyle w:val="20"/>
            </w:pPr>
            <w:r>
              <w:t>使用方便，高效</w:t>
            </w:r>
          </w:p>
        </w:tc>
        <w:tc>
          <w:tcPr>
            <w:tcW w:w="1276" w:type="dxa"/>
            <w:vAlign w:val="center"/>
          </w:tcPr>
          <w:p>
            <w:pPr>
              <w:pStyle w:val="20"/>
            </w:pPr>
            <w:r>
              <w:t>工作效率提高</w:t>
            </w:r>
          </w:p>
        </w:tc>
        <w:tc>
          <w:tcPr>
            <w:tcW w:w="1843" w:type="dxa"/>
            <w:vAlign w:val="center"/>
          </w:tcPr>
          <w:p>
            <w:pPr>
              <w:pStyle w:val="20"/>
            </w:pPr>
            <w:r>
              <w:t>合同文件</w:t>
            </w:r>
          </w:p>
        </w:tc>
      </w:tr>
      <w:tr>
        <w:trPr>
          <w:trHeight w:val="369"/>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满意度</w:t>
            </w:r>
          </w:p>
        </w:tc>
        <w:tc>
          <w:tcPr>
            <w:tcW w:w="2891" w:type="dxa"/>
            <w:vAlign w:val="center"/>
          </w:tcPr>
          <w:p>
            <w:pPr>
              <w:pStyle w:val="20"/>
            </w:pPr>
            <w:r>
              <w:t>区直各单位工作人员满意度</w:t>
            </w:r>
          </w:p>
        </w:tc>
        <w:tc>
          <w:tcPr>
            <w:tcW w:w="1276" w:type="dxa"/>
            <w:vAlign w:val="center"/>
          </w:tcPr>
          <w:p>
            <w:pPr>
              <w:pStyle w:val="20"/>
            </w:pPr>
            <w:r>
              <w:t>≥95%</w:t>
            </w:r>
          </w:p>
        </w:tc>
        <w:tc>
          <w:tcPr>
            <w:tcW w:w="1843" w:type="dxa"/>
            <w:vAlign w:val="center"/>
          </w:tcPr>
          <w:p>
            <w:pPr>
              <w:pStyle w:val="20"/>
            </w:pPr>
            <w:r>
              <w:t>合同文件</w:t>
            </w:r>
          </w:p>
        </w:tc>
      </w:tr>
    </w:tbl>
    <w:p>
      <w:pPr>
        <w:sectPr>
          <w:pgSz w:w="11900" w:h="16840"/>
          <w:pgMar w:top="1984" w:right="1304" w:bottom="1134" w:left="1304" w:header="720" w:footer="720" w:gutter="0"/>
          <w:docGrid w:linePitch="326" w:charSpace="0"/>
        </w:sectPr>
      </w:pPr>
    </w:p>
    <w:p>
      <w:pPr>
        <w:spacing w:before="0" w:after="0" w:line="240" w:lineRule="auto"/>
        <w:ind w:firstLine="0"/>
        <w:jc w:val="center"/>
        <w:outlineLvl w:val="9"/>
      </w:pPr>
      <w:bookmarkStart w:id="5" w:name="_GoBack"/>
      <w:bookmarkEnd w:id="5"/>
      <w:r>
        <w:rPr>
          <w:rFonts w:ascii="方正仿宋_GBK" w:eastAsia="方正仿宋_GBK" w:cs="方正仿宋_GBK"/>
          <w:color w:val="000000"/>
          <w:sz w:val="28"/>
        </w:rPr>
        <w:t xml:space="preserve"> </w:t>
      </w:r>
    </w:p>
    <w:p>
      <w:pPr>
        <w:spacing w:before="0" w:after="0"/>
        <w:ind w:firstLine="560"/>
        <w:jc w:val="left"/>
        <w:outlineLvl w:val="3"/>
      </w:pPr>
      <w:bookmarkStart w:id="6" w:name="_Toc_4_4_0000000006"/>
      <w:r>
        <w:rPr>
          <w:rFonts w:ascii="方正仿宋_GBK" w:eastAsia="方正仿宋_GBK" w:cs="方正仿宋_GBK"/>
          <w:color w:val="000000"/>
          <w:sz w:val="28"/>
        </w:rPr>
        <w:t>3.招商引资专用经费绩效目标表</w:t>
      </w:r>
      <w:bookmarkEnd w:id="6"/>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26"/>
        <w:gridCol w:w="1226"/>
        <w:gridCol w:w="1280"/>
        <w:gridCol w:w="1525"/>
        <w:gridCol w:w="1253"/>
        <w:gridCol w:w="1226"/>
        <w:gridCol w:w="1771"/>
      </w:tblGrid>
      <w:tr>
        <w:trPr>
          <w:trHeight w:val="397"/>
        </w:trPr>
        <w:tc>
          <w:tcPr>
            <w:tcW w:w="8051" w:type="dxa"/>
            <w:gridSpan w:val="6"/>
            <w:tcBorders>
              <w:top w:val="single" w:sz="6" w:space="0" w:color="FFFFFF"/>
              <w:left w:val="single" w:sz="6" w:space="0" w:color="FFFFFF"/>
              <w:right w:val="single" w:sz="6" w:space="0" w:color="FFFFFF"/>
            </w:tcBorders>
            <w:vAlign w:val="center"/>
          </w:tcPr>
          <w:p>
            <w:pPr>
              <w:pStyle w:val="19"/>
            </w:pPr>
            <w:r>
              <w:t>434001唐山市路南区人民政府办公室本级</w:t>
            </w:r>
          </w:p>
        </w:tc>
        <w:tc>
          <w:tcPr>
            <w:tcW w:w="1843" w:type="dxa"/>
            <w:tcBorders>
              <w:top w:val="single" w:sz="6" w:space="0" w:color="FFFFFF"/>
              <w:left w:val="single" w:sz="6" w:space="0" w:color="FFFFFF"/>
              <w:right w:val="single" w:sz="6" w:space="0" w:color="FFFFFF"/>
            </w:tcBorders>
            <w:vAlign w:val="center"/>
          </w:tcPr>
          <w:p>
            <w:pPr>
              <w:pStyle w:val="18"/>
            </w:pPr>
            <w:r>
              <w:t>单位：万元</w:t>
            </w:r>
          </w:p>
        </w:tc>
      </w:tr>
      <w:tr>
        <w:trPr>
          <w:trHeight w:val="369"/>
        </w:trPr>
        <w:tc>
          <w:tcPr>
            <w:tcW w:w="1276" w:type="dxa"/>
            <w:vAlign w:val="center"/>
          </w:tcPr>
          <w:p>
            <w:pPr>
              <w:pStyle w:val="21"/>
            </w:pPr>
            <w:r>
              <w:t>项目编码</w:t>
            </w:r>
          </w:p>
        </w:tc>
        <w:tc>
          <w:tcPr>
            <w:tcW w:w="2608" w:type="dxa"/>
            <w:gridSpan w:val="2"/>
            <w:vAlign w:val="center"/>
          </w:tcPr>
          <w:p>
            <w:pPr>
              <w:pStyle w:val="20"/>
            </w:pPr>
            <w:r>
              <w:t>13020225P000005100028</w:t>
            </w:r>
          </w:p>
        </w:tc>
        <w:tc>
          <w:tcPr>
            <w:tcW w:w="1587" w:type="dxa"/>
            <w:vAlign w:val="center"/>
          </w:tcPr>
          <w:p>
            <w:pPr>
              <w:pStyle w:val="21"/>
            </w:pPr>
            <w:r>
              <w:t>项目名称</w:t>
            </w:r>
          </w:p>
        </w:tc>
        <w:tc>
          <w:tcPr>
            <w:tcW w:w="4423" w:type="dxa"/>
            <w:gridSpan w:val="3"/>
            <w:vAlign w:val="center"/>
          </w:tcPr>
          <w:p>
            <w:pPr>
              <w:pStyle w:val="20"/>
            </w:pPr>
            <w:r>
              <w:t>招商引资专用经费</w:t>
            </w:r>
          </w:p>
        </w:tc>
      </w:tr>
      <w:tr>
        <w:trPr>
          <w:trHeight w:val="369"/>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70.00</w:t>
            </w:r>
          </w:p>
        </w:tc>
        <w:tc>
          <w:tcPr>
            <w:tcW w:w="1587" w:type="dxa"/>
            <w:vAlign w:val="center"/>
          </w:tcPr>
          <w:p>
            <w:pPr>
              <w:pStyle w:val="21"/>
            </w:pPr>
            <w:r>
              <w:t>其中：财政    资金</w:t>
            </w:r>
          </w:p>
        </w:tc>
        <w:tc>
          <w:tcPr>
            <w:tcW w:w="1304" w:type="dxa"/>
            <w:vAlign w:val="center"/>
          </w:tcPr>
          <w:p>
            <w:pPr>
              <w:pStyle w:val="20"/>
            </w:pPr>
            <w:r>
              <w:t>70.00</w:t>
            </w:r>
          </w:p>
        </w:tc>
        <w:tc>
          <w:tcPr>
            <w:tcW w:w="1276" w:type="dxa"/>
            <w:vAlign w:val="center"/>
          </w:tcPr>
          <w:p>
            <w:pPr>
              <w:pStyle w:val="21"/>
            </w:pPr>
            <w:r>
              <w:t>其他资金</w:t>
            </w:r>
          </w:p>
        </w:tc>
        <w:tc>
          <w:tcPr>
            <w:tcW w:w="1843" w:type="dxa"/>
            <w:vAlign w:val="center"/>
          </w:tcPr>
          <w:p>
            <w:pPr>
              <w:pStyle w:val="20"/>
            </w:pPr>
            <w:r>
              <w:t xml:space="preserve"> </w:t>
            </w:r>
          </w:p>
        </w:tc>
      </w:tr>
      <w:tr>
        <w:trPr>
          <w:trHeight w:val="369"/>
        </w:trPr>
        <w:tc>
          <w:tcPr>
            <w:tcW w:w="1276" w:type="dxa"/>
            <w:vMerge/>
          </w:tcPr>
          <w:p/>
        </w:tc>
        <w:tc>
          <w:tcPr>
            <w:tcW w:w="8618" w:type="dxa"/>
            <w:gridSpan w:val="6"/>
            <w:vAlign w:val="center"/>
          </w:tcPr>
          <w:p>
            <w:pPr>
              <w:pStyle w:val="20"/>
            </w:pPr>
            <w:r>
              <w:t>完成2025年招商引资各项目标任务</w:t>
            </w:r>
          </w:p>
        </w:tc>
      </w:tr>
      <w:tr>
        <w:trPr>
          <w:trHeight w:val="369"/>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9" w:type="dxa"/>
            <w:gridSpan w:val="2"/>
            <w:vAlign w:val="center"/>
          </w:tcPr>
          <w:p>
            <w:pPr>
              <w:pStyle w:val="21"/>
            </w:pPr>
            <w:r>
              <w:t>12月底</w:t>
            </w:r>
          </w:p>
        </w:tc>
      </w:tr>
      <w:tr>
        <w:trPr>
          <w:trHeight w:val="369"/>
        </w:trPr>
        <w:tc>
          <w:tcPr>
            <w:tcW w:w="1276" w:type="dxa"/>
            <w:vMerge/>
          </w:tcPr>
          <w:p/>
        </w:tc>
        <w:tc>
          <w:tcPr>
            <w:tcW w:w="2608" w:type="dxa"/>
            <w:gridSpan w:val="2"/>
            <w:vAlign w:val="center"/>
          </w:tcPr>
          <w:p>
            <w:pPr>
              <w:pStyle w:val="22"/>
            </w:pPr>
            <w:r>
              <w:t>30%</w:t>
            </w:r>
          </w:p>
        </w:tc>
        <w:tc>
          <w:tcPr>
            <w:tcW w:w="1587" w:type="dxa"/>
            <w:vAlign w:val="center"/>
          </w:tcPr>
          <w:p>
            <w:pPr>
              <w:pStyle w:val="22"/>
            </w:pPr>
            <w:r>
              <w:t>30%</w:t>
            </w:r>
          </w:p>
        </w:tc>
        <w:tc>
          <w:tcPr>
            <w:tcW w:w="1304" w:type="dxa"/>
            <w:vAlign w:val="center"/>
          </w:tcPr>
          <w:p>
            <w:pPr>
              <w:pStyle w:val="22"/>
            </w:pPr>
            <w:r>
              <w:t>30%</w:t>
            </w:r>
          </w:p>
        </w:tc>
        <w:tc>
          <w:tcPr>
            <w:tcW w:w="3119" w:type="dxa"/>
            <w:gridSpan w:val="2"/>
            <w:vAlign w:val="center"/>
          </w:tcPr>
          <w:p>
            <w:pPr>
              <w:pStyle w:val="22"/>
            </w:pPr>
            <w:r>
              <w:t>10%</w:t>
            </w:r>
          </w:p>
        </w:tc>
      </w:tr>
      <w:tr>
        <w:trPr>
          <w:trHeight w:val="369"/>
        </w:trPr>
        <w:tc>
          <w:tcPr>
            <w:tcW w:w="1276" w:type="dxa"/>
            <w:vAlign w:val="center"/>
          </w:tcPr>
          <w:p>
            <w:pPr>
              <w:pStyle w:val="21"/>
            </w:pPr>
            <w:r>
              <w:t>绩效目标</w:t>
            </w:r>
          </w:p>
        </w:tc>
        <w:tc>
          <w:tcPr>
            <w:tcW w:w="8618" w:type="dxa"/>
            <w:gridSpan w:val="6"/>
            <w:vAlign w:val="center"/>
          </w:tcPr>
          <w:p>
            <w:pPr>
              <w:pStyle w:val="20"/>
            </w:pPr>
            <w:r>
              <w:t>1.完成2025年招商引资各项目标任务</w:t>
            </w:r>
          </w:p>
        </w:tc>
      </w:tr>
    </w:tbl>
    <w:p>
      <w:pPr>
        <w:spacing w:before="0" w:after="0" w:line="2" w:lineRule="exact"/>
        <w:ind w:firstLine="0"/>
        <w:jc w:val="center"/>
        <w:outlineLvl w:val="9"/>
      </w:pPr>
      <w:r>
        <w:rPr>
          <w:rFonts w:ascii="方正书宋_GBK" w:eastAsia="方正书宋_GBK" w:cs="方正书宋_GBK"/>
          <w:color w:val="000000"/>
          <w:sz w:val="21"/>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26"/>
        <w:gridCol w:w="1226"/>
        <w:gridCol w:w="1280"/>
        <w:gridCol w:w="2778"/>
        <w:gridCol w:w="1226"/>
        <w:gridCol w:w="1771"/>
      </w:tblGrid>
      <w:tr>
        <w:trPr>
          <w:trHeight w:val="397"/>
          <w:tblHead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rPr>
          <w:trHeight w:val="369"/>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举办招商引资活动数量（个）</w:t>
            </w:r>
          </w:p>
        </w:tc>
        <w:tc>
          <w:tcPr>
            <w:tcW w:w="2891" w:type="dxa"/>
            <w:vAlign w:val="center"/>
          </w:tcPr>
          <w:p>
            <w:pPr>
              <w:pStyle w:val="20"/>
            </w:pPr>
            <w:r>
              <w:t>举办招商引资活动数量（个）</w:t>
            </w:r>
          </w:p>
        </w:tc>
        <w:tc>
          <w:tcPr>
            <w:tcW w:w="1276" w:type="dxa"/>
            <w:vAlign w:val="center"/>
          </w:tcPr>
          <w:p>
            <w:pPr>
              <w:pStyle w:val="20"/>
            </w:pPr>
            <w:r>
              <w:t>≥3个</w:t>
            </w:r>
          </w:p>
        </w:tc>
        <w:tc>
          <w:tcPr>
            <w:tcW w:w="1843" w:type="dxa"/>
            <w:vAlign w:val="center"/>
          </w:tcPr>
          <w:p>
            <w:pPr>
              <w:pStyle w:val="20"/>
            </w:pPr>
            <w:r>
              <w:t>年初工作安排</w:t>
            </w:r>
          </w:p>
        </w:tc>
      </w:tr>
      <w:tr>
        <w:trPr>
          <w:trHeight w:val="369"/>
        </w:trPr>
        <w:tc>
          <w:tcPr>
            <w:tcW w:w="1276" w:type="dxa"/>
            <w:vMerge/>
            <w:vAlign w:val="center"/>
          </w:tcPr>
          <w:p/>
        </w:tc>
        <w:tc>
          <w:tcPr>
            <w:tcW w:w="1276" w:type="dxa"/>
            <w:vAlign w:val="center"/>
          </w:tcPr>
          <w:p>
            <w:pPr>
              <w:pStyle w:val="20"/>
            </w:pPr>
            <w:r>
              <w:t>质量指标</w:t>
            </w:r>
          </w:p>
        </w:tc>
        <w:tc>
          <w:tcPr>
            <w:tcW w:w="1332" w:type="dxa"/>
            <w:vAlign w:val="center"/>
          </w:tcPr>
          <w:p>
            <w:pPr>
              <w:pStyle w:val="20"/>
            </w:pPr>
            <w:r>
              <w:t>招商活动的签约项目个数</w:t>
            </w:r>
          </w:p>
        </w:tc>
        <w:tc>
          <w:tcPr>
            <w:tcW w:w="2891" w:type="dxa"/>
            <w:vAlign w:val="center"/>
          </w:tcPr>
          <w:p>
            <w:pPr>
              <w:pStyle w:val="20"/>
            </w:pPr>
            <w:r>
              <w:t>招商活动的签约项目个数</w:t>
            </w:r>
          </w:p>
        </w:tc>
        <w:tc>
          <w:tcPr>
            <w:tcW w:w="1276" w:type="dxa"/>
            <w:vAlign w:val="center"/>
          </w:tcPr>
          <w:p>
            <w:pPr>
              <w:pStyle w:val="20"/>
            </w:pPr>
            <w:r>
              <w:t>≥3个</w:t>
            </w:r>
          </w:p>
        </w:tc>
        <w:tc>
          <w:tcPr>
            <w:tcW w:w="1843" w:type="dxa"/>
            <w:vAlign w:val="center"/>
          </w:tcPr>
          <w:p>
            <w:pPr>
              <w:pStyle w:val="20"/>
            </w:pPr>
            <w:r>
              <w:t>年初工作安排</w:t>
            </w:r>
          </w:p>
        </w:tc>
      </w:tr>
      <w:tr>
        <w:trPr>
          <w:trHeight w:val="369"/>
        </w:trPr>
        <w:tc>
          <w:tcPr>
            <w:tcW w:w="1276" w:type="dxa"/>
            <w:vMerge/>
            <w:vAlign w:val="center"/>
          </w:tcPr>
          <w:p/>
        </w:tc>
        <w:tc>
          <w:tcPr>
            <w:tcW w:w="1276" w:type="dxa"/>
            <w:vAlign w:val="center"/>
          </w:tcPr>
          <w:p>
            <w:pPr>
              <w:pStyle w:val="20"/>
            </w:pPr>
            <w:r>
              <w:t>时效指标</w:t>
            </w:r>
          </w:p>
        </w:tc>
        <w:tc>
          <w:tcPr>
            <w:tcW w:w="1332" w:type="dxa"/>
            <w:vAlign w:val="center"/>
          </w:tcPr>
          <w:p>
            <w:pPr>
              <w:pStyle w:val="20"/>
            </w:pPr>
            <w:r>
              <w:t>拨款执行进度(%)</w:t>
            </w:r>
          </w:p>
        </w:tc>
        <w:tc>
          <w:tcPr>
            <w:tcW w:w="2891" w:type="dxa"/>
            <w:vAlign w:val="center"/>
          </w:tcPr>
          <w:p>
            <w:pPr>
              <w:pStyle w:val="20"/>
            </w:pPr>
            <w:r>
              <w:t>拨款执行进度(%)</w:t>
            </w:r>
          </w:p>
        </w:tc>
        <w:tc>
          <w:tcPr>
            <w:tcW w:w="1276" w:type="dxa"/>
            <w:vAlign w:val="center"/>
          </w:tcPr>
          <w:p>
            <w:pPr>
              <w:pStyle w:val="20"/>
            </w:pPr>
            <w:r>
              <w:t>≥80%</w:t>
            </w:r>
          </w:p>
        </w:tc>
        <w:tc>
          <w:tcPr>
            <w:tcW w:w="1843" w:type="dxa"/>
            <w:vAlign w:val="center"/>
          </w:tcPr>
          <w:p>
            <w:pPr>
              <w:pStyle w:val="20"/>
            </w:pPr>
            <w:r>
              <w:t>年初工作安排</w:t>
            </w:r>
          </w:p>
        </w:tc>
      </w:tr>
      <w:tr>
        <w:trPr>
          <w:trHeight w:val="369"/>
        </w:trPr>
        <w:tc>
          <w:tcPr>
            <w:tcW w:w="1276" w:type="dxa"/>
            <w:vMerge/>
            <w:vAlign w:val="center"/>
          </w:tcPr>
          <w:p/>
        </w:tc>
        <w:tc>
          <w:tcPr>
            <w:tcW w:w="1276" w:type="dxa"/>
            <w:vAlign w:val="center"/>
          </w:tcPr>
          <w:p>
            <w:pPr>
              <w:pStyle w:val="20"/>
            </w:pPr>
            <w:r>
              <w:t>成本指标</w:t>
            </w:r>
          </w:p>
        </w:tc>
        <w:tc>
          <w:tcPr>
            <w:tcW w:w="1332" w:type="dxa"/>
            <w:vAlign w:val="center"/>
          </w:tcPr>
          <w:p>
            <w:pPr>
              <w:pStyle w:val="20"/>
            </w:pPr>
            <w:r>
              <w:t>预算</w:t>
            </w:r>
          </w:p>
        </w:tc>
        <w:tc>
          <w:tcPr>
            <w:tcW w:w="2891" w:type="dxa"/>
            <w:vAlign w:val="center"/>
          </w:tcPr>
          <w:p>
            <w:pPr>
              <w:pStyle w:val="20"/>
            </w:pPr>
            <w:r>
              <w:t>预算</w:t>
            </w:r>
          </w:p>
        </w:tc>
        <w:tc>
          <w:tcPr>
            <w:tcW w:w="1276" w:type="dxa"/>
            <w:vAlign w:val="center"/>
          </w:tcPr>
          <w:p>
            <w:pPr>
              <w:pStyle w:val="20"/>
            </w:pPr>
            <w:r>
              <w:t>70万元</w:t>
            </w:r>
          </w:p>
        </w:tc>
        <w:tc>
          <w:tcPr>
            <w:tcW w:w="1843" w:type="dxa"/>
            <w:vAlign w:val="center"/>
          </w:tcPr>
          <w:p>
            <w:pPr>
              <w:pStyle w:val="20"/>
            </w:pPr>
            <w:r>
              <w:t>年初工作安排</w:t>
            </w:r>
          </w:p>
        </w:tc>
      </w:tr>
      <w:tr>
        <w:trPr>
          <w:trHeight w:val="369"/>
        </w:trPr>
        <w:tc>
          <w:tcPr>
            <w:tcW w:w="1276" w:type="dxa"/>
            <w:vMerge w:val="restart"/>
            <w:vAlign w:val="center"/>
          </w:tcPr>
          <w:p>
            <w:pPr>
              <w:pStyle w:val="22"/>
            </w:pPr>
            <w:r>
              <w:t>效益指标</w:t>
            </w:r>
          </w:p>
        </w:tc>
        <w:tc>
          <w:tcPr>
            <w:tcW w:w="1276" w:type="dxa"/>
            <w:vAlign w:val="center"/>
          </w:tcPr>
          <w:p>
            <w:pPr>
              <w:pStyle w:val="20"/>
            </w:pPr>
            <w:r>
              <w:t>经济效益指标</w:t>
            </w:r>
          </w:p>
        </w:tc>
        <w:tc>
          <w:tcPr>
            <w:tcW w:w="1332" w:type="dxa"/>
            <w:vAlign w:val="center"/>
          </w:tcPr>
          <w:p>
            <w:pPr>
              <w:pStyle w:val="20"/>
            </w:pPr>
            <w:r>
              <w:t>成本节约</w:t>
            </w:r>
          </w:p>
        </w:tc>
        <w:tc>
          <w:tcPr>
            <w:tcW w:w="2891" w:type="dxa"/>
            <w:vAlign w:val="center"/>
          </w:tcPr>
          <w:p>
            <w:pPr>
              <w:pStyle w:val="20"/>
            </w:pPr>
            <w:r>
              <w:t>成本节约</w:t>
            </w:r>
          </w:p>
        </w:tc>
        <w:tc>
          <w:tcPr>
            <w:tcW w:w="1276" w:type="dxa"/>
            <w:vAlign w:val="center"/>
          </w:tcPr>
          <w:p>
            <w:pPr>
              <w:pStyle w:val="20"/>
            </w:pPr>
            <w:r>
              <w:t>≤10%</w:t>
            </w:r>
          </w:p>
        </w:tc>
        <w:tc>
          <w:tcPr>
            <w:tcW w:w="1843" w:type="dxa"/>
            <w:vAlign w:val="center"/>
          </w:tcPr>
          <w:p>
            <w:pPr>
              <w:pStyle w:val="20"/>
            </w:pPr>
            <w:r>
              <w:t>年初工作安排</w:t>
            </w:r>
          </w:p>
        </w:tc>
      </w:tr>
      <w:tr>
        <w:trPr>
          <w:trHeight w:val="369"/>
        </w:trPr>
        <w:tc>
          <w:tcPr>
            <w:tcW w:w="1276" w:type="dxa"/>
            <w:vMerge/>
            <w:vAlign w:val="center"/>
          </w:tcPr>
          <w:p/>
        </w:tc>
        <w:tc>
          <w:tcPr>
            <w:tcW w:w="1276" w:type="dxa"/>
            <w:vAlign w:val="center"/>
          </w:tcPr>
          <w:p>
            <w:pPr>
              <w:pStyle w:val="20"/>
            </w:pPr>
            <w:r>
              <w:t>社会效益指标</w:t>
            </w:r>
          </w:p>
        </w:tc>
        <w:tc>
          <w:tcPr>
            <w:tcW w:w="1332" w:type="dxa"/>
            <w:vAlign w:val="center"/>
          </w:tcPr>
          <w:p>
            <w:pPr>
              <w:pStyle w:val="20"/>
            </w:pPr>
            <w:r>
              <w:t>引导社会资金投入能力</w:t>
            </w:r>
          </w:p>
        </w:tc>
        <w:tc>
          <w:tcPr>
            <w:tcW w:w="2891" w:type="dxa"/>
            <w:vAlign w:val="center"/>
          </w:tcPr>
          <w:p>
            <w:pPr>
              <w:pStyle w:val="20"/>
            </w:pPr>
            <w:r>
              <w:t>引导社会资金投入能力</w:t>
            </w:r>
          </w:p>
        </w:tc>
        <w:tc>
          <w:tcPr>
            <w:tcW w:w="1276" w:type="dxa"/>
            <w:vAlign w:val="center"/>
          </w:tcPr>
          <w:p>
            <w:pPr>
              <w:pStyle w:val="20"/>
            </w:pPr>
            <w:r>
              <w:t>提升社会资金投入</w:t>
            </w:r>
          </w:p>
        </w:tc>
        <w:tc>
          <w:tcPr>
            <w:tcW w:w="1843" w:type="dxa"/>
            <w:vAlign w:val="center"/>
          </w:tcPr>
          <w:p>
            <w:pPr>
              <w:pStyle w:val="20"/>
            </w:pPr>
            <w:r>
              <w:t>年初工作安排</w:t>
            </w:r>
          </w:p>
        </w:tc>
      </w:tr>
      <w:tr>
        <w:trPr>
          <w:trHeight w:val="369"/>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满意率</w:t>
            </w:r>
          </w:p>
        </w:tc>
        <w:tc>
          <w:tcPr>
            <w:tcW w:w="2891" w:type="dxa"/>
            <w:vAlign w:val="center"/>
          </w:tcPr>
          <w:p>
            <w:pPr>
              <w:pStyle w:val="20"/>
            </w:pPr>
            <w:r>
              <w:t>满意率</w:t>
            </w:r>
          </w:p>
        </w:tc>
        <w:tc>
          <w:tcPr>
            <w:tcW w:w="1276" w:type="dxa"/>
            <w:vAlign w:val="center"/>
          </w:tcPr>
          <w:p>
            <w:pPr>
              <w:pStyle w:val="20"/>
            </w:pPr>
            <w:r>
              <w:t>≥90%</w:t>
            </w:r>
          </w:p>
        </w:tc>
        <w:tc>
          <w:tcPr>
            <w:tcW w:w="1843" w:type="dxa"/>
            <w:vAlign w:val="center"/>
          </w:tcPr>
          <w:p>
            <w:pPr>
              <w:pStyle w:val="20"/>
            </w:pPr>
            <w:r>
              <w:t>年初工作安排</w:t>
            </w:r>
          </w:p>
        </w:tc>
      </w:tr>
    </w:tbl>
    <w:p/>
    <w:sectPr>
      <w:pgSz w:w="11900" w:h="16840"/>
      <w:pgMar w:top="1984" w:right="1304" w:bottom="1134" w:left="1304"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黑体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方正仿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b w:val="0"/>
      <w:sz w:val="28"/>
    </w:rPr>
  </w:style>
  <w:style w:type="paragraph" w:customStyle="1" w:styleId="16">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b w:val="0"/>
      <w:sz w:val="28"/>
    </w:rPr>
  </w:style>
  <w:style w:type="paragraph" w:customStyle="1" w:styleId="17">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b w:val="0"/>
      <w:sz w:val="28"/>
    </w:rPr>
  </w:style>
  <w:style w:type="paragraph" w:customStyle="1" w:styleId="18">
    <w:name w:val="单元格样式4"/>
    <w:pPr>
      <w:spacing w:before="0" w:after="0"/>
      <w:ind w:firstLine="0"/>
      <w:jc w:val="right"/>
      <w:outlineLvl w:val="9"/>
    </w:pPr>
    <w:rPr>
      <w:rFonts w:ascii="方正书宋_GBK" w:eastAsia="方正书宋_GBK" w:cs="方正书宋_GBK"/>
      <w:sz w:val="21"/>
      <w:szCs w:val="20"/>
      <w:lang w:val="en-US" w:eastAsia="zh-CN" w:bidi="ar-SA"/>
    </w:rPr>
  </w:style>
  <w:style w:type="paragraph" w:customStyle="1" w:styleId="19">
    <w:name w:val="单元格样式5"/>
    <w:pPr>
      <w:spacing w:before="0" w:after="0"/>
      <w:ind w:firstLine="0"/>
      <w:jc w:val="left"/>
      <w:outlineLvl w:val="9"/>
    </w:pPr>
    <w:rPr>
      <w:rFonts w:ascii="方正书宋_GBK" w:eastAsia="方正书宋_GBK" w:cs="方正书宋_GBK"/>
      <w:b/>
      <w:sz w:val="21"/>
      <w:szCs w:val="20"/>
      <w:lang w:val="en-US" w:eastAsia="zh-CN" w:bidi="ar-SA"/>
    </w:rPr>
  </w:style>
  <w:style w:type="paragraph" w:customStyle="1" w:styleId="20">
    <w:name w:val="单元格样式2"/>
    <w:pPr>
      <w:spacing w:before="0" w:after="0"/>
      <w:ind w:firstLine="0"/>
      <w:jc w:val="left"/>
      <w:outlineLvl w:val="9"/>
    </w:pPr>
    <w:rPr>
      <w:rFonts w:ascii="方正书宋_GBK" w:eastAsia="方正书宋_GBK" w:cs="方正书宋_GBK"/>
      <w:sz w:val="21"/>
      <w:szCs w:val="20"/>
      <w:lang w:val="en-US" w:eastAsia="zh-CN" w:bidi="ar-SA"/>
    </w:rPr>
  </w:style>
  <w:style w:type="paragraph" w:customStyle="1" w:styleId="21">
    <w:name w:val="单元格样式1"/>
    <w:pPr>
      <w:spacing w:before="0" w:after="0"/>
      <w:ind w:firstLine="0"/>
      <w:jc w:val="center"/>
      <w:outlineLvl w:val="9"/>
    </w:pPr>
    <w:rPr>
      <w:rFonts w:ascii="方正书宋_GBK" w:eastAsia="方正书宋_GBK" w:cs="方正书宋_GBK"/>
      <w:b/>
      <w:sz w:val="21"/>
      <w:szCs w:val="20"/>
      <w:lang w:val="en-US" w:eastAsia="zh-CN" w:bidi="ar-SA"/>
    </w:rPr>
  </w:style>
  <w:style w:type="paragraph" w:customStyle="1" w:styleId="22">
    <w:name w:val="单元格样式3"/>
    <w:pPr>
      <w:spacing w:before="0" w:after="0"/>
      <w:ind w:firstLine="0"/>
      <w:jc w:val="center"/>
      <w:outlineLvl w:val="9"/>
    </w:pPr>
    <w:rPr>
      <w:rFonts w:ascii="方正书宋_GBK" w:eastAsia="方正书宋_GBK" w:cs="方正书宋_GBK"/>
      <w:sz w:val="21"/>
      <w:szCs w:val="20"/>
      <w:lang w:val="en-US" w:eastAsia="zh-CN" w:bidi="ar-SA"/>
    </w:rPr>
  </w:style>
  <w:style w:type="paragraph" w:customStyle="1" w:styleId="23">
    <w:name w:val="TOC 2"/>
    <w:basedOn w:val="0"/>
    <w:pPr>
      <w:ind w:left="240"/>
    </w:pPr>
  </w:style>
  <w:style w:type="paragraph" w:customStyle="1" w:styleId="24">
    <w:name w:val="TOC 4"/>
    <w:basedOn w:val="0"/>
    <w:pPr>
      <w:ind w:left="720"/>
    </w:pPr>
  </w:style>
  <w:style w:type="paragraph" w:customStyle="1" w:styleId="25">
    <w:name w:val="TOC 1"/>
    <w:basedOn w:val="0"/>
    <w:pPr>
      <w:spacing w:before="120" w:line="240" w:lineRule="auto"/>
      <w:ind w:firstLine="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Yozo_Office27021597764231179</Application>
  <Pages>11</Pages>
  <Words>3668</Words>
  <Characters>3900</Characters>
  <Lines>429</Lines>
  <Paragraphs>273</Paragraphs>
  <CharactersWithSpaces>3960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2025-02-07T07:21:00Z</dcterms:created>
  <dcterms:modified xsi:type="dcterms:W3CDTF">2025-02-13T01:06:13Z</dcterms:modified>
</cp:coreProperties>
</file>