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FB477">
      <w:pPr>
        <w:rPr>
          <w:color w:val="FF0000"/>
          <w:sz w:val="24"/>
        </w:rPr>
      </w:pPr>
    </w:p>
    <w:p w14:paraId="693BE543">
      <w:pPr>
        <w:rPr>
          <w:color w:val="FF0000"/>
          <w:sz w:val="24"/>
        </w:rPr>
      </w:pPr>
    </w:p>
    <w:p w14:paraId="7D8F6A3E">
      <w:pPr>
        <w:rPr>
          <w:color w:val="FF0000"/>
          <w:sz w:val="24"/>
        </w:rPr>
      </w:pPr>
    </w:p>
    <w:p w14:paraId="0108DF1F">
      <w:pPr>
        <w:spacing w:before="0" w:after="0" w:line="240" w:lineRule="auto"/>
        <w:ind w:firstLine="0"/>
        <w:jc w:val="both"/>
        <w:outlineLvl w:val="9"/>
      </w:pPr>
      <w:r>
        <w:rPr>
          <w:rFonts w:ascii="方正小标宋_GBK" w:hAnsi="方正小标宋_GBK" w:eastAsia="方正小标宋_GBK" w:cs="方正小标宋_GBK"/>
          <w:color w:val="000000"/>
          <w:sz w:val="52"/>
        </w:rPr>
        <w:t xml:space="preserve"> </w:t>
      </w:r>
    </w:p>
    <w:p w14:paraId="02B9EABC">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155AF86">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0675D5C6">
      <w:pPr>
        <w:spacing w:before="0" w:after="0" w:line="240" w:lineRule="auto"/>
        <w:ind w:firstLine="0"/>
        <w:jc w:val="center"/>
        <w:outlineLvl w:val="9"/>
      </w:pPr>
      <w:r>
        <w:rPr>
          <w:rFonts w:ascii="方正小标宋_GBK" w:hAnsi="方正小标宋_GBK" w:eastAsia="方正小标宋_GBK" w:cs="方正小标宋_GBK"/>
          <w:color w:val="000000"/>
          <w:sz w:val="72"/>
        </w:rPr>
        <w:t>唐山市路南区消防大队</w:t>
      </w:r>
    </w:p>
    <w:p w14:paraId="136A3744">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14:paraId="08D93ABC">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14:paraId="11CEB750">
      <w:pPr>
        <w:spacing w:before="0" w:after="0" w:line="240" w:lineRule="auto"/>
        <w:ind w:firstLine="0"/>
        <w:jc w:val="center"/>
        <w:outlineLvl w:val="9"/>
      </w:pPr>
      <w:r>
        <w:rPr>
          <w:rFonts w:ascii="宋体" w:hAnsi="宋体" w:eastAsia="宋体" w:cs="宋体"/>
          <w:color w:val="000000"/>
          <w:sz w:val="21"/>
        </w:rPr>
        <w:t xml:space="preserve"> </w:t>
      </w:r>
    </w:p>
    <w:p w14:paraId="3BE3C13A">
      <w:pPr>
        <w:spacing w:before="0" w:after="0" w:line="240" w:lineRule="auto"/>
        <w:ind w:firstLine="0"/>
        <w:jc w:val="center"/>
        <w:outlineLvl w:val="9"/>
      </w:pPr>
      <w:r>
        <w:rPr>
          <w:rFonts w:ascii="宋体" w:hAnsi="宋体" w:eastAsia="宋体" w:cs="宋体"/>
          <w:color w:val="000000"/>
          <w:sz w:val="21"/>
        </w:rPr>
        <w:t xml:space="preserve"> </w:t>
      </w:r>
    </w:p>
    <w:p w14:paraId="236508B2">
      <w:pPr>
        <w:spacing w:before="0" w:after="0" w:line="240" w:lineRule="auto"/>
        <w:ind w:firstLine="0"/>
        <w:jc w:val="center"/>
        <w:outlineLvl w:val="9"/>
      </w:pPr>
      <w:r>
        <w:rPr>
          <w:rFonts w:ascii="宋体" w:hAnsi="宋体" w:eastAsia="宋体" w:cs="宋体"/>
          <w:color w:val="000000"/>
          <w:sz w:val="21"/>
        </w:rPr>
        <w:t xml:space="preserve"> </w:t>
      </w:r>
    </w:p>
    <w:p w14:paraId="22732B6A">
      <w:pPr>
        <w:spacing w:before="0" w:after="0" w:line="240" w:lineRule="auto"/>
        <w:ind w:firstLine="0"/>
        <w:jc w:val="center"/>
        <w:outlineLvl w:val="9"/>
      </w:pPr>
      <w:r>
        <w:rPr>
          <w:rFonts w:ascii="宋体" w:hAnsi="宋体" w:eastAsia="宋体" w:cs="宋体"/>
          <w:color w:val="000000"/>
          <w:sz w:val="21"/>
        </w:rPr>
        <w:t xml:space="preserve"> </w:t>
      </w:r>
    </w:p>
    <w:p w14:paraId="4A68C17F">
      <w:pPr>
        <w:spacing w:before="0" w:after="0" w:line="240" w:lineRule="auto"/>
        <w:ind w:firstLine="0"/>
        <w:jc w:val="center"/>
        <w:outlineLvl w:val="9"/>
      </w:pPr>
      <w:r>
        <w:rPr>
          <w:rFonts w:ascii="宋体" w:hAnsi="宋体" w:eastAsia="宋体" w:cs="宋体"/>
          <w:color w:val="000000"/>
          <w:sz w:val="21"/>
        </w:rPr>
        <w:t xml:space="preserve"> </w:t>
      </w:r>
    </w:p>
    <w:p w14:paraId="0A2DC81A">
      <w:pPr>
        <w:spacing w:before="0" w:after="0" w:line="240" w:lineRule="auto"/>
        <w:ind w:firstLine="0"/>
        <w:jc w:val="center"/>
        <w:outlineLvl w:val="9"/>
      </w:pPr>
      <w:r>
        <w:rPr>
          <w:rFonts w:ascii="宋体" w:hAnsi="宋体" w:eastAsia="宋体" w:cs="宋体"/>
          <w:color w:val="000000"/>
          <w:sz w:val="21"/>
        </w:rPr>
        <w:t xml:space="preserve"> </w:t>
      </w:r>
    </w:p>
    <w:p w14:paraId="42E11E5A">
      <w:pPr>
        <w:spacing w:before="0" w:after="0" w:line="240" w:lineRule="auto"/>
        <w:ind w:firstLine="0"/>
        <w:jc w:val="center"/>
        <w:outlineLvl w:val="9"/>
      </w:pPr>
      <w:r>
        <w:rPr>
          <w:rFonts w:ascii="宋体" w:hAnsi="宋体" w:eastAsia="宋体" w:cs="宋体"/>
          <w:color w:val="000000"/>
          <w:sz w:val="21"/>
        </w:rPr>
        <w:t xml:space="preserve"> </w:t>
      </w:r>
    </w:p>
    <w:p w14:paraId="74974E69">
      <w:pPr>
        <w:spacing w:before="0" w:after="0" w:line="240" w:lineRule="auto"/>
        <w:ind w:firstLine="0"/>
        <w:jc w:val="center"/>
        <w:outlineLvl w:val="9"/>
      </w:pPr>
      <w:r>
        <w:rPr>
          <w:rFonts w:ascii="宋体" w:hAnsi="宋体" w:eastAsia="宋体" w:cs="宋体"/>
          <w:color w:val="000000"/>
          <w:sz w:val="21"/>
        </w:rPr>
        <w:t xml:space="preserve"> </w:t>
      </w:r>
    </w:p>
    <w:p w14:paraId="41541C11">
      <w:pPr>
        <w:spacing w:before="0" w:after="0" w:line="240" w:lineRule="auto"/>
        <w:ind w:firstLine="0"/>
        <w:jc w:val="center"/>
        <w:outlineLvl w:val="9"/>
      </w:pPr>
      <w:r>
        <w:rPr>
          <w:rFonts w:ascii="宋体" w:hAnsi="宋体" w:eastAsia="宋体" w:cs="宋体"/>
          <w:color w:val="000000"/>
          <w:sz w:val="21"/>
        </w:rPr>
        <w:t xml:space="preserve"> </w:t>
      </w:r>
    </w:p>
    <w:p w14:paraId="06F72118">
      <w:pPr>
        <w:spacing w:before="0" w:after="0" w:line="240" w:lineRule="auto"/>
        <w:ind w:firstLine="0"/>
        <w:jc w:val="center"/>
        <w:outlineLvl w:val="9"/>
      </w:pPr>
      <w:r>
        <w:rPr>
          <w:rFonts w:ascii="宋体" w:hAnsi="宋体" w:eastAsia="宋体" w:cs="宋体"/>
          <w:color w:val="000000"/>
          <w:sz w:val="21"/>
        </w:rPr>
        <w:t xml:space="preserve"> </w:t>
      </w:r>
    </w:p>
    <w:p w14:paraId="71F9D837">
      <w:pPr>
        <w:spacing w:before="0" w:after="0" w:line="240" w:lineRule="auto"/>
        <w:ind w:firstLine="0"/>
        <w:jc w:val="center"/>
        <w:outlineLvl w:val="9"/>
      </w:pPr>
      <w:r>
        <w:rPr>
          <w:rFonts w:ascii="宋体" w:hAnsi="宋体" w:eastAsia="宋体" w:cs="宋体"/>
          <w:color w:val="000000"/>
          <w:sz w:val="21"/>
        </w:rPr>
        <w:t xml:space="preserve"> </w:t>
      </w:r>
    </w:p>
    <w:p w14:paraId="336835C5">
      <w:pPr>
        <w:spacing w:before="0" w:after="0" w:line="240" w:lineRule="auto"/>
        <w:ind w:firstLine="0"/>
        <w:jc w:val="center"/>
        <w:outlineLvl w:val="9"/>
      </w:pPr>
      <w:r>
        <w:rPr>
          <w:rFonts w:ascii="宋体" w:hAnsi="宋体" w:eastAsia="宋体" w:cs="宋体"/>
          <w:color w:val="000000"/>
          <w:sz w:val="21"/>
        </w:rPr>
        <w:t xml:space="preserve"> </w:t>
      </w:r>
    </w:p>
    <w:p w14:paraId="432C3A64">
      <w:pPr>
        <w:spacing w:before="0" w:after="0" w:line="240" w:lineRule="auto"/>
        <w:ind w:firstLine="0"/>
        <w:jc w:val="center"/>
        <w:outlineLvl w:val="9"/>
      </w:pPr>
      <w:r>
        <w:rPr>
          <w:rFonts w:ascii="宋体" w:hAnsi="宋体" w:eastAsia="宋体" w:cs="宋体"/>
          <w:color w:val="000000"/>
          <w:sz w:val="21"/>
        </w:rPr>
        <w:t xml:space="preserve"> </w:t>
      </w:r>
    </w:p>
    <w:p w14:paraId="5FA1BB97">
      <w:pPr>
        <w:spacing w:before="0" w:after="0" w:line="240" w:lineRule="auto"/>
        <w:ind w:firstLine="0"/>
        <w:jc w:val="center"/>
        <w:outlineLvl w:val="9"/>
      </w:pPr>
      <w:r>
        <w:rPr>
          <w:rFonts w:ascii="宋体" w:hAnsi="宋体" w:eastAsia="宋体" w:cs="宋体"/>
          <w:color w:val="000000"/>
          <w:sz w:val="21"/>
        </w:rPr>
        <w:t xml:space="preserve"> </w:t>
      </w:r>
    </w:p>
    <w:p w14:paraId="777A3CEB">
      <w:pPr>
        <w:spacing w:before="0" w:after="0" w:line="240" w:lineRule="auto"/>
        <w:ind w:firstLine="0"/>
        <w:jc w:val="center"/>
        <w:outlineLvl w:val="9"/>
      </w:pPr>
      <w:r>
        <w:rPr>
          <w:rFonts w:ascii="宋体" w:hAnsi="宋体" w:eastAsia="宋体" w:cs="宋体"/>
          <w:color w:val="000000"/>
          <w:sz w:val="21"/>
        </w:rPr>
        <w:t xml:space="preserve"> </w:t>
      </w:r>
    </w:p>
    <w:p w14:paraId="40DC7D5A">
      <w:pPr>
        <w:spacing w:before="0" w:after="0" w:line="240" w:lineRule="auto"/>
        <w:ind w:firstLine="0"/>
        <w:jc w:val="center"/>
        <w:outlineLvl w:val="9"/>
      </w:pPr>
      <w:r>
        <w:rPr>
          <w:rFonts w:ascii="宋体" w:hAnsi="宋体" w:eastAsia="宋体" w:cs="宋体"/>
          <w:color w:val="000000"/>
          <w:sz w:val="21"/>
        </w:rPr>
        <w:t xml:space="preserve"> </w:t>
      </w:r>
    </w:p>
    <w:p w14:paraId="290A9A9B">
      <w:pPr>
        <w:spacing w:before="0" w:after="0" w:line="240" w:lineRule="auto"/>
        <w:ind w:firstLine="0"/>
        <w:jc w:val="center"/>
        <w:outlineLvl w:val="9"/>
      </w:pPr>
      <w:r>
        <w:rPr>
          <w:rFonts w:ascii="宋体" w:hAnsi="宋体" w:eastAsia="宋体" w:cs="宋体"/>
          <w:color w:val="000000"/>
          <w:sz w:val="21"/>
        </w:rPr>
        <w:t xml:space="preserve"> </w:t>
      </w:r>
    </w:p>
    <w:p w14:paraId="257C7C50">
      <w:pPr>
        <w:spacing w:before="0" w:after="0" w:line="240" w:lineRule="auto"/>
        <w:ind w:firstLine="0"/>
        <w:jc w:val="center"/>
        <w:outlineLvl w:val="9"/>
      </w:pPr>
      <w:r>
        <w:rPr>
          <w:rFonts w:ascii="宋体" w:hAnsi="宋体" w:eastAsia="宋体" w:cs="宋体"/>
          <w:color w:val="000000"/>
          <w:sz w:val="21"/>
        </w:rPr>
        <w:t xml:space="preserve"> </w:t>
      </w:r>
    </w:p>
    <w:p w14:paraId="1138B043">
      <w:pPr>
        <w:spacing w:before="0" w:after="0" w:line="240" w:lineRule="auto"/>
        <w:ind w:firstLine="0"/>
        <w:jc w:val="center"/>
        <w:outlineLvl w:val="9"/>
      </w:pPr>
      <w:r>
        <w:rPr>
          <w:rFonts w:ascii="方正楷体_GBK" w:hAnsi="方正楷体_GBK" w:eastAsia="方正楷体_GBK" w:cs="方正楷体_GBK"/>
          <w:b/>
          <w:color w:val="000000"/>
          <w:sz w:val="32"/>
        </w:rPr>
        <w:t>唐山市路南区消防大队编制</w:t>
      </w:r>
    </w:p>
    <w:p w14:paraId="6B787345">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唐山市路南区财政局审核</w:t>
      </w:r>
    </w:p>
    <w:p w14:paraId="49DC34C4">
      <w:pPr>
        <w:spacing w:before="0" w:after="0" w:line="240" w:lineRule="auto"/>
        <w:ind w:firstLine="0"/>
        <w:jc w:val="center"/>
        <w:outlineLvl w:val="9"/>
        <w:sectPr>
          <w:pgSz w:w="11900" w:h="16840"/>
          <w:pgMar w:top="1984" w:right="1304" w:bottom="1134" w:left="1304" w:header="720" w:footer="720" w:gutter="0"/>
          <w:cols w:space="720" w:num="1"/>
          <w:titlePg/>
        </w:sectPr>
      </w:pPr>
    </w:p>
    <w:p w14:paraId="78047B94">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6155A251">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4C76D365">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092A751A">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5ED4F349">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6766CD81">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24650278">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14:paraId="56DB25D0">
      <w:r>
        <w:fldChar w:fldCharType="end"/>
      </w:r>
    </w:p>
    <w:p w14:paraId="278BF39E">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04954C81">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1.劳务费绩效目标表</w:t>
      </w:r>
      <w:r>
        <w:tab/>
      </w:r>
      <w:r>
        <w:fldChar w:fldCharType="begin"/>
      </w:r>
      <w:r>
        <w:instrText xml:space="preserve">PAGEREF _Toc_4_4_0000000004 \h</w:instrText>
      </w:r>
      <w:r>
        <w:fldChar w:fldCharType="separate"/>
      </w:r>
      <w:r>
        <w:t>5</w:t>
      </w:r>
      <w:r>
        <w:fldChar w:fldCharType="end"/>
      </w:r>
      <w:r>
        <w:fldChar w:fldCharType="end"/>
      </w:r>
    </w:p>
    <w:p w14:paraId="5E192746">
      <w:r>
        <w:fldChar w:fldCharType="end"/>
      </w:r>
    </w:p>
    <w:p w14:paraId="0D42E9DD">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14:paraId="0337E8F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65AA249">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05F55501">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5959A54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BD1FC68">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1871ED36">
      <w:pPr>
        <w:pStyle w:val="8"/>
      </w:pPr>
      <w:r>
        <w:t>以习近平新时代中国特色社会主义思想为指导，深入贯彻习近平总书记授旗训词精神，习近平总书记关于坚持底线思维着力防范化解重大风险的重要论述和关于安全生产、防火减灾救灾、应急救援等应急管理重要论述精神，按照政府统一领导、部门依法监督、单位全面负责、公民积极参与的原则，充分发挥消防部门主推手和主力军作用，持续开展火灾隐患综合治理，强力推进消防安全责任落实。不断夯实消防基层基础，切实提高全社会火灾防范水平，确保全区不发生重特大尤其是群死群伤火灾事故，重大活动期间不发生有影响的火灾事故，部队不发生重大违法违纪事件。</w:t>
      </w:r>
    </w:p>
    <w:p w14:paraId="098AF6BA">
      <w:pPr>
        <w:pStyle w:val="8"/>
      </w:pPr>
    </w:p>
    <w:p w14:paraId="3584789A">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3F8E6112">
      <w:pPr>
        <w:pStyle w:val="9"/>
      </w:pPr>
      <w:r>
        <w:t>一、开展防火检查</w:t>
      </w:r>
    </w:p>
    <w:p w14:paraId="176A6967">
      <w:pPr>
        <w:pStyle w:val="9"/>
      </w:pPr>
      <w:r>
        <w:t>绩效目标：进一步加强社会化消防安全工作，制定消防安全制度，明确并落实逐级和岗位消防安全责任制，按照“双随机、一公开”消防监管系统进行检查，加大力度预防和减少火灾事故的发生。</w:t>
      </w:r>
    </w:p>
    <w:p w14:paraId="3CBD6310">
      <w:pPr>
        <w:pStyle w:val="9"/>
      </w:pPr>
      <w:r>
        <w:t>绩效指标：监督工作任务完成率，年度监督工作完成情况占全年监督任务的比例大于等于95%。</w:t>
      </w:r>
    </w:p>
    <w:p w14:paraId="5A892A76">
      <w:pPr>
        <w:pStyle w:val="9"/>
      </w:pPr>
      <w:r>
        <w:t>二、开展消防宣传教育</w:t>
      </w:r>
    </w:p>
    <w:p w14:paraId="094A9C39">
      <w:pPr>
        <w:pStyle w:val="9"/>
      </w:pPr>
      <w:r>
        <w:t>绩效目标：广泛开展消防宣传教育和培训，推动消防宣传“七进”，全面提高全民面对火灾的自防自救能力，实现有效处置初期火灾的目标。组织“119宣传月”活动，向目标人群推送发放消防台历、挪车卡和节日宣传海报等原创宣传品。</w:t>
      </w:r>
    </w:p>
    <w:p w14:paraId="328C877D">
      <w:pPr>
        <w:pStyle w:val="9"/>
      </w:pPr>
      <w:r>
        <w:t>绩效指标：宣传教育培训任务完成率，年度消防宣传工作完成情况占全年消防宣传任务的比例大于等于95%。</w:t>
      </w:r>
    </w:p>
    <w:p w14:paraId="451BEABF">
      <w:pPr>
        <w:pStyle w:val="9"/>
      </w:pPr>
      <w:r>
        <w:t>三、火灾事故原因调查</w:t>
      </w:r>
    </w:p>
    <w:p w14:paraId="4932C382">
      <w:pPr>
        <w:pStyle w:val="9"/>
      </w:pPr>
      <w:r>
        <w:t>绩效目标：调查火灾原因，落实追究事故责任。规范火灾调查工作，以进一步提高业务能力和实际办案水平；加大对疑难复杂火灾事故调查指导力度，减少和避免因火灾事故调查引起的上访和行政诉讼案件，加大火灾调查个人防护装备、现场勘验整备的配备力度。</w:t>
      </w:r>
    </w:p>
    <w:p w14:paraId="4C091F12">
      <w:pPr>
        <w:pStyle w:val="9"/>
      </w:pPr>
      <w:r>
        <w:t>绩效指标：大案要案查处完结率，年度大案要案查处完成情况占全年大案要案比例大于等于95%。</w:t>
      </w:r>
    </w:p>
    <w:p w14:paraId="6C31E259">
      <w:pPr>
        <w:pStyle w:val="9"/>
      </w:pPr>
    </w:p>
    <w:p w14:paraId="12B17765">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4726D9FD">
      <w:pPr>
        <w:pStyle w:val="10"/>
      </w:pPr>
      <w:r>
        <w:t>一、完善各项会议制度，规范会议程序，提高会议质量，提高协商水平。</w:t>
      </w:r>
    </w:p>
    <w:p w14:paraId="6114AB4F">
      <w:pPr>
        <w:pStyle w:val="10"/>
      </w:pPr>
      <w:r>
        <w:t>二、完善民主监督机制，畅通民主监督渠道，建立健全知情、沟通制度，将全民监督寓于提案、视察、参与工作检查等活动中，提高民主监督质量和成效。</w:t>
      </w:r>
    </w:p>
    <w:p w14:paraId="5943A38B">
      <w:pPr>
        <w:pStyle w:val="10"/>
      </w:pPr>
      <w:r>
        <w:t>三、不断加强绩效管理，采取措施预做准备，控制偏差，保证绩效目标的实现。</w:t>
      </w:r>
    </w:p>
    <w:p w14:paraId="00010837">
      <w:pPr>
        <w:pStyle w:val="10"/>
      </w:pPr>
      <w:r>
        <w:t>1、完善制度建设。制定预算绩效管理制度、资金管理办法、工作保障制度，为全年预算绩效目标的实现奠定基础。</w:t>
      </w:r>
    </w:p>
    <w:p w14:paraId="7EE4E3EF">
      <w:pPr>
        <w:pStyle w:val="10"/>
      </w:pPr>
      <w:r>
        <w:t>2、加强支出管理。通过优化支出结构、编细编实预算、加快履行政府采购手续、尽快启动项目、及时支付资金、按规定及时下达资金等多种措施，确保支出进度达标。、</w:t>
      </w:r>
    </w:p>
    <w:p w14:paraId="5B58A7D5">
      <w:pPr>
        <w:pStyle w:val="10"/>
      </w:pPr>
      <w:r>
        <w:t>3、加强绩效运行监控。按绩效预算管理要求开展绩效运行监控，发现问题及时采取措施，确保绩效目标如期保质实现。</w:t>
      </w:r>
    </w:p>
    <w:p w14:paraId="569587C5">
      <w:pPr>
        <w:pStyle w:val="10"/>
      </w:pPr>
      <w:r>
        <w:t>4、做好绩效自评。按要求开展上年度部门预算绩效自评和重点评价工作，对评价中发现的问题及时整改，调整优化支出结构，提高财政资金使用效益。</w:t>
      </w:r>
    </w:p>
    <w:p w14:paraId="29C50C1E">
      <w:pPr>
        <w:pStyle w:val="10"/>
      </w:pPr>
      <w:r>
        <w:t>5、规范财务资产管理。完善财务管理制度，严格审批程序，加强固定资产登记、使用和报废处置管理，做到支出合理，物尽其用。</w:t>
      </w:r>
    </w:p>
    <w:p w14:paraId="5F81DDA8">
      <w:pPr>
        <w:pStyle w:val="10"/>
      </w:pPr>
      <w:r>
        <w:t>6、加强内部监督。坚强内部监督制度建设，对绩效运行情况、重大支出决策、资产处置及其他重要经济业务事项的决策和执行进行督导，对会计资料进行内部审计，并配合做好审计、财政监督等外部监督工作，确保财政资金安全有效。</w:t>
      </w:r>
    </w:p>
    <w:p w14:paraId="59DDD8D3">
      <w:pPr>
        <w:pStyle w:val="10"/>
      </w:pPr>
      <w:r>
        <w:t>7、加强宣传培训调研等。加强人员培训，提高职工业务素质；加强调研，提出优化财政资金配置、提高资金使用效益的意见；加大宣传力度，强化预算绩效管理意识，促进预算绩效管理水平进一步提高。</w:t>
      </w:r>
    </w:p>
    <w:p w14:paraId="6FEB0015">
      <w:pPr>
        <w:pStyle w:val="10"/>
      </w:pPr>
    </w:p>
    <w:p w14:paraId="7FCB8138">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3CAEDE90">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5DFE6648">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5328D75">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14827852">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4666046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E7D772D">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296B3CEE">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6E91916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D6188E2">
      <w:pPr>
        <w:spacing w:before="0" w:after="0"/>
        <w:ind w:firstLine="560"/>
        <w:jc w:val="left"/>
        <w:outlineLvl w:val="3"/>
      </w:pPr>
      <w:bookmarkStart w:id="3" w:name="_Toc_4_4_0000000004"/>
      <w:r>
        <w:rPr>
          <w:rFonts w:ascii="方正仿宋_GBK" w:hAnsi="方正仿宋_GBK" w:eastAsia="方正仿宋_GBK" w:cs="方正仿宋_GBK"/>
          <w:color w:val="000000"/>
          <w:sz w:val="28"/>
        </w:rPr>
        <w:t>1.劳务费绩效目标表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58694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A07438D">
            <w:pPr>
              <w:pStyle w:val="12"/>
            </w:pPr>
            <w:r>
              <w:t>313001唐山市路南区消防大队</w:t>
            </w:r>
          </w:p>
        </w:tc>
        <w:tc>
          <w:tcPr>
            <w:tcW w:w="1843" w:type="dxa"/>
            <w:tcBorders>
              <w:top w:val="single" w:color="FFFFFF" w:sz="6" w:space="0"/>
              <w:left w:val="single" w:color="FFFFFF" w:sz="6" w:space="0"/>
              <w:right w:val="single" w:color="FFFFFF" w:sz="6" w:space="0"/>
            </w:tcBorders>
            <w:vAlign w:val="center"/>
          </w:tcPr>
          <w:p w14:paraId="7185DC22">
            <w:pPr>
              <w:pStyle w:val="11"/>
            </w:pPr>
            <w:r>
              <w:t>单位：万元</w:t>
            </w:r>
          </w:p>
        </w:tc>
      </w:tr>
      <w:tr w14:paraId="4FD079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3217EF">
            <w:pPr>
              <w:pStyle w:val="14"/>
            </w:pPr>
            <w:r>
              <w:t>项目编码</w:t>
            </w:r>
          </w:p>
        </w:tc>
        <w:tc>
          <w:tcPr>
            <w:tcW w:w="2608" w:type="dxa"/>
            <w:gridSpan w:val="2"/>
            <w:vAlign w:val="center"/>
          </w:tcPr>
          <w:p w14:paraId="0B9A5031">
            <w:pPr>
              <w:pStyle w:val="13"/>
            </w:pPr>
            <w:r>
              <w:t>13020225P000057100014</w:t>
            </w:r>
          </w:p>
        </w:tc>
        <w:tc>
          <w:tcPr>
            <w:tcW w:w="1587" w:type="dxa"/>
            <w:vAlign w:val="center"/>
          </w:tcPr>
          <w:p w14:paraId="076162B5">
            <w:pPr>
              <w:pStyle w:val="14"/>
            </w:pPr>
            <w:r>
              <w:t>项目名称</w:t>
            </w:r>
          </w:p>
        </w:tc>
        <w:tc>
          <w:tcPr>
            <w:tcW w:w="4423" w:type="dxa"/>
            <w:gridSpan w:val="3"/>
            <w:vAlign w:val="center"/>
          </w:tcPr>
          <w:p w14:paraId="07DBFFDA">
            <w:pPr>
              <w:pStyle w:val="13"/>
            </w:pPr>
            <w:r>
              <w:t>劳务费</w:t>
            </w:r>
          </w:p>
        </w:tc>
      </w:tr>
      <w:tr w14:paraId="7EE87F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A14849">
            <w:pPr>
              <w:pStyle w:val="14"/>
            </w:pPr>
            <w:r>
              <w:t>预算规模及资金用途</w:t>
            </w:r>
          </w:p>
        </w:tc>
        <w:tc>
          <w:tcPr>
            <w:tcW w:w="1276" w:type="dxa"/>
            <w:vAlign w:val="center"/>
          </w:tcPr>
          <w:p w14:paraId="1001D179">
            <w:pPr>
              <w:pStyle w:val="14"/>
            </w:pPr>
            <w:r>
              <w:t>预算数</w:t>
            </w:r>
          </w:p>
        </w:tc>
        <w:tc>
          <w:tcPr>
            <w:tcW w:w="1332" w:type="dxa"/>
            <w:vAlign w:val="center"/>
          </w:tcPr>
          <w:p w14:paraId="604B3A60">
            <w:pPr>
              <w:pStyle w:val="13"/>
            </w:pPr>
            <w:r>
              <w:t>24.88</w:t>
            </w:r>
          </w:p>
        </w:tc>
        <w:tc>
          <w:tcPr>
            <w:tcW w:w="1587" w:type="dxa"/>
            <w:vAlign w:val="center"/>
          </w:tcPr>
          <w:p w14:paraId="1E479A22">
            <w:pPr>
              <w:pStyle w:val="14"/>
            </w:pPr>
            <w:r>
              <w:t>其中：财政    资金</w:t>
            </w:r>
          </w:p>
        </w:tc>
        <w:tc>
          <w:tcPr>
            <w:tcW w:w="1304" w:type="dxa"/>
            <w:vAlign w:val="center"/>
          </w:tcPr>
          <w:p w14:paraId="7E81B959">
            <w:pPr>
              <w:pStyle w:val="13"/>
            </w:pPr>
            <w:r>
              <w:t>24.88</w:t>
            </w:r>
          </w:p>
        </w:tc>
        <w:tc>
          <w:tcPr>
            <w:tcW w:w="1276" w:type="dxa"/>
            <w:vAlign w:val="center"/>
          </w:tcPr>
          <w:p w14:paraId="6402CD31">
            <w:pPr>
              <w:pStyle w:val="14"/>
            </w:pPr>
            <w:r>
              <w:t>其他资金</w:t>
            </w:r>
          </w:p>
        </w:tc>
        <w:tc>
          <w:tcPr>
            <w:tcW w:w="1843" w:type="dxa"/>
            <w:vAlign w:val="center"/>
          </w:tcPr>
          <w:p w14:paraId="404DFC3F">
            <w:pPr>
              <w:pStyle w:val="13"/>
            </w:pPr>
            <w:r>
              <w:t xml:space="preserve"> </w:t>
            </w:r>
          </w:p>
        </w:tc>
      </w:tr>
      <w:tr w14:paraId="47DED0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7D6347"/>
        </w:tc>
        <w:tc>
          <w:tcPr>
            <w:tcW w:w="8618" w:type="dxa"/>
            <w:gridSpan w:val="6"/>
            <w:vAlign w:val="center"/>
          </w:tcPr>
          <w:p w14:paraId="2F1CBC8C">
            <w:pPr>
              <w:pStyle w:val="13"/>
            </w:pPr>
            <w:r>
              <w:t>用于发放2025年度劳务派遣人员工资、社会保险等费用支出</w:t>
            </w:r>
          </w:p>
        </w:tc>
      </w:tr>
      <w:tr w14:paraId="0F3C73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2566FE">
            <w:pPr>
              <w:pStyle w:val="14"/>
            </w:pPr>
            <w:r>
              <w:t>资金支出计划（%）</w:t>
            </w:r>
          </w:p>
        </w:tc>
        <w:tc>
          <w:tcPr>
            <w:tcW w:w="2608" w:type="dxa"/>
            <w:gridSpan w:val="2"/>
            <w:vAlign w:val="center"/>
          </w:tcPr>
          <w:p w14:paraId="1AFD2EF9">
            <w:pPr>
              <w:pStyle w:val="14"/>
            </w:pPr>
            <w:r>
              <w:t>3月底</w:t>
            </w:r>
          </w:p>
        </w:tc>
        <w:tc>
          <w:tcPr>
            <w:tcW w:w="1587" w:type="dxa"/>
            <w:vAlign w:val="center"/>
          </w:tcPr>
          <w:p w14:paraId="22AD06E6">
            <w:pPr>
              <w:pStyle w:val="14"/>
            </w:pPr>
            <w:r>
              <w:t>6月底</w:t>
            </w:r>
          </w:p>
        </w:tc>
        <w:tc>
          <w:tcPr>
            <w:tcW w:w="1304" w:type="dxa"/>
            <w:vAlign w:val="center"/>
          </w:tcPr>
          <w:p w14:paraId="57F177E7">
            <w:pPr>
              <w:pStyle w:val="14"/>
            </w:pPr>
            <w:r>
              <w:t>10月底</w:t>
            </w:r>
          </w:p>
        </w:tc>
        <w:tc>
          <w:tcPr>
            <w:tcW w:w="3119" w:type="dxa"/>
            <w:gridSpan w:val="2"/>
            <w:vAlign w:val="center"/>
          </w:tcPr>
          <w:p w14:paraId="15F06BB3">
            <w:pPr>
              <w:pStyle w:val="14"/>
            </w:pPr>
            <w:r>
              <w:t>12月底</w:t>
            </w:r>
          </w:p>
        </w:tc>
      </w:tr>
      <w:tr w14:paraId="6F4714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BA3653"/>
        </w:tc>
        <w:tc>
          <w:tcPr>
            <w:tcW w:w="2608" w:type="dxa"/>
            <w:gridSpan w:val="2"/>
            <w:vAlign w:val="center"/>
          </w:tcPr>
          <w:p w14:paraId="647F483D">
            <w:pPr>
              <w:pStyle w:val="15"/>
            </w:pPr>
            <w:r>
              <w:t>25%</w:t>
            </w:r>
          </w:p>
        </w:tc>
        <w:tc>
          <w:tcPr>
            <w:tcW w:w="1587" w:type="dxa"/>
            <w:vAlign w:val="center"/>
          </w:tcPr>
          <w:p w14:paraId="626C6F6C">
            <w:pPr>
              <w:pStyle w:val="15"/>
            </w:pPr>
            <w:r>
              <w:t>50%</w:t>
            </w:r>
          </w:p>
        </w:tc>
        <w:tc>
          <w:tcPr>
            <w:tcW w:w="1304" w:type="dxa"/>
            <w:vAlign w:val="center"/>
          </w:tcPr>
          <w:p w14:paraId="44DDCF21">
            <w:pPr>
              <w:pStyle w:val="15"/>
            </w:pPr>
            <w:r>
              <w:t>75%</w:t>
            </w:r>
          </w:p>
        </w:tc>
        <w:tc>
          <w:tcPr>
            <w:tcW w:w="3119" w:type="dxa"/>
            <w:gridSpan w:val="2"/>
            <w:vAlign w:val="center"/>
          </w:tcPr>
          <w:p w14:paraId="554CCA25">
            <w:pPr>
              <w:pStyle w:val="15"/>
            </w:pPr>
            <w:r>
              <w:t>100%</w:t>
            </w:r>
          </w:p>
        </w:tc>
      </w:tr>
      <w:tr w14:paraId="62D672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0CC43B">
            <w:pPr>
              <w:pStyle w:val="14"/>
            </w:pPr>
            <w:r>
              <w:t>绩效目标</w:t>
            </w:r>
          </w:p>
        </w:tc>
        <w:tc>
          <w:tcPr>
            <w:tcW w:w="8618" w:type="dxa"/>
            <w:gridSpan w:val="6"/>
            <w:vAlign w:val="center"/>
          </w:tcPr>
          <w:p w14:paraId="66FB2564">
            <w:pPr>
              <w:pStyle w:val="13"/>
            </w:pPr>
            <w:r>
              <w:t>1.用于签订劳务合同派遣人员工资发放</w:t>
            </w:r>
          </w:p>
        </w:tc>
      </w:tr>
    </w:tbl>
    <w:p w14:paraId="5B4B947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128"/>
        <w:gridCol w:w="2970"/>
        <w:gridCol w:w="840"/>
        <w:gridCol w:w="2404"/>
      </w:tblGrid>
      <w:tr w14:paraId="4F8AF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C2D419">
            <w:pPr>
              <w:pStyle w:val="14"/>
            </w:pPr>
            <w:r>
              <w:t>一级指标</w:t>
            </w:r>
          </w:p>
        </w:tc>
        <w:tc>
          <w:tcPr>
            <w:tcW w:w="1276" w:type="dxa"/>
            <w:vAlign w:val="center"/>
          </w:tcPr>
          <w:p w14:paraId="7F62B93E">
            <w:pPr>
              <w:pStyle w:val="14"/>
            </w:pPr>
            <w:r>
              <w:t>二级指标</w:t>
            </w:r>
          </w:p>
        </w:tc>
        <w:tc>
          <w:tcPr>
            <w:tcW w:w="1128" w:type="dxa"/>
            <w:vAlign w:val="center"/>
          </w:tcPr>
          <w:p w14:paraId="6F94E5D0">
            <w:pPr>
              <w:pStyle w:val="14"/>
            </w:pPr>
            <w:r>
              <w:t>三级指标</w:t>
            </w:r>
          </w:p>
        </w:tc>
        <w:tc>
          <w:tcPr>
            <w:tcW w:w="2970" w:type="dxa"/>
            <w:vAlign w:val="center"/>
          </w:tcPr>
          <w:p w14:paraId="75B6B4FA">
            <w:pPr>
              <w:pStyle w:val="14"/>
            </w:pPr>
            <w:r>
              <w:t>绩效指标描述</w:t>
            </w:r>
          </w:p>
        </w:tc>
        <w:tc>
          <w:tcPr>
            <w:tcW w:w="840" w:type="dxa"/>
            <w:vAlign w:val="center"/>
          </w:tcPr>
          <w:p w14:paraId="6C9DC121">
            <w:pPr>
              <w:pStyle w:val="14"/>
            </w:pPr>
            <w:r>
              <w:t>指标值</w:t>
            </w:r>
          </w:p>
        </w:tc>
        <w:tc>
          <w:tcPr>
            <w:tcW w:w="2404" w:type="dxa"/>
            <w:vAlign w:val="center"/>
          </w:tcPr>
          <w:p w14:paraId="08C8185D">
            <w:pPr>
              <w:pStyle w:val="14"/>
            </w:pPr>
            <w:r>
              <w:t>指标值确定依据</w:t>
            </w:r>
          </w:p>
        </w:tc>
      </w:tr>
      <w:tr w14:paraId="4F856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4E0BFA">
            <w:pPr>
              <w:pStyle w:val="15"/>
            </w:pPr>
            <w:r>
              <w:t>产出指标</w:t>
            </w:r>
          </w:p>
        </w:tc>
        <w:tc>
          <w:tcPr>
            <w:tcW w:w="1276" w:type="dxa"/>
            <w:vAlign w:val="center"/>
          </w:tcPr>
          <w:p w14:paraId="549090B5">
            <w:pPr>
              <w:pStyle w:val="13"/>
            </w:pPr>
            <w:r>
              <w:t>成本指标</w:t>
            </w:r>
          </w:p>
        </w:tc>
        <w:tc>
          <w:tcPr>
            <w:tcW w:w="1128" w:type="dxa"/>
            <w:vAlign w:val="center"/>
          </w:tcPr>
          <w:p w14:paraId="0B55DF7E">
            <w:pPr>
              <w:pStyle w:val="13"/>
            </w:pPr>
            <w:r>
              <w:t>发放人数</w:t>
            </w:r>
          </w:p>
        </w:tc>
        <w:tc>
          <w:tcPr>
            <w:tcW w:w="2970" w:type="dxa"/>
            <w:vAlign w:val="center"/>
          </w:tcPr>
          <w:p w14:paraId="3A52DFD1">
            <w:pPr>
              <w:pStyle w:val="13"/>
            </w:pPr>
            <w:r>
              <w:t>保障经费的人员数量</w:t>
            </w:r>
          </w:p>
        </w:tc>
        <w:tc>
          <w:tcPr>
            <w:tcW w:w="840" w:type="dxa"/>
            <w:vAlign w:val="center"/>
          </w:tcPr>
          <w:p w14:paraId="69D14F71">
            <w:pPr>
              <w:pStyle w:val="13"/>
            </w:pPr>
            <w:r>
              <w:t>21人</w:t>
            </w:r>
          </w:p>
        </w:tc>
        <w:tc>
          <w:tcPr>
            <w:tcW w:w="2404" w:type="dxa"/>
            <w:vAlign w:val="center"/>
          </w:tcPr>
          <w:p w14:paraId="2AAA8C93">
            <w:pPr>
              <w:pStyle w:val="13"/>
            </w:pPr>
            <w:r>
              <w:t>按照年初工作计划安排</w:t>
            </w:r>
          </w:p>
        </w:tc>
      </w:tr>
      <w:tr w14:paraId="1BEB5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B738FA"/>
        </w:tc>
        <w:tc>
          <w:tcPr>
            <w:tcW w:w="1276" w:type="dxa"/>
            <w:vAlign w:val="center"/>
          </w:tcPr>
          <w:p w14:paraId="43295363">
            <w:pPr>
              <w:pStyle w:val="13"/>
            </w:pPr>
            <w:r>
              <w:t>数量指标</w:t>
            </w:r>
          </w:p>
        </w:tc>
        <w:tc>
          <w:tcPr>
            <w:tcW w:w="1128" w:type="dxa"/>
            <w:vAlign w:val="center"/>
          </w:tcPr>
          <w:p w14:paraId="2EFFEBBC">
            <w:pPr>
              <w:pStyle w:val="13"/>
            </w:pPr>
            <w:r>
              <w:t>发放率</w:t>
            </w:r>
          </w:p>
        </w:tc>
        <w:tc>
          <w:tcPr>
            <w:tcW w:w="2970" w:type="dxa"/>
            <w:vAlign w:val="center"/>
          </w:tcPr>
          <w:p w14:paraId="1E4C5477">
            <w:pPr>
              <w:pStyle w:val="13"/>
            </w:pPr>
            <w:r>
              <w:t>全年发放人员经费金额占预算金额的比率</w:t>
            </w:r>
          </w:p>
        </w:tc>
        <w:tc>
          <w:tcPr>
            <w:tcW w:w="840" w:type="dxa"/>
            <w:vAlign w:val="center"/>
          </w:tcPr>
          <w:p w14:paraId="332FB014">
            <w:pPr>
              <w:pStyle w:val="13"/>
            </w:pPr>
            <w:r>
              <w:t>≥95%</w:t>
            </w:r>
          </w:p>
        </w:tc>
        <w:tc>
          <w:tcPr>
            <w:tcW w:w="2404" w:type="dxa"/>
            <w:vAlign w:val="center"/>
          </w:tcPr>
          <w:p w14:paraId="7601F3F3">
            <w:pPr>
              <w:pStyle w:val="13"/>
            </w:pPr>
            <w:r>
              <w:t>按照年初工作计划安排</w:t>
            </w:r>
          </w:p>
        </w:tc>
      </w:tr>
      <w:tr w14:paraId="1A4CB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258D71"/>
        </w:tc>
        <w:tc>
          <w:tcPr>
            <w:tcW w:w="1276" w:type="dxa"/>
            <w:vAlign w:val="center"/>
          </w:tcPr>
          <w:p w14:paraId="09F699F4">
            <w:pPr>
              <w:pStyle w:val="13"/>
            </w:pPr>
            <w:r>
              <w:t>时效指标</w:t>
            </w:r>
          </w:p>
        </w:tc>
        <w:tc>
          <w:tcPr>
            <w:tcW w:w="1128" w:type="dxa"/>
            <w:vAlign w:val="center"/>
          </w:tcPr>
          <w:p w14:paraId="5837DF2B">
            <w:pPr>
              <w:pStyle w:val="13"/>
            </w:pPr>
            <w:r>
              <w:t>发放时间</w:t>
            </w:r>
          </w:p>
        </w:tc>
        <w:tc>
          <w:tcPr>
            <w:tcW w:w="2970" w:type="dxa"/>
            <w:vAlign w:val="center"/>
          </w:tcPr>
          <w:p w14:paraId="60D18F72">
            <w:pPr>
              <w:pStyle w:val="13"/>
            </w:pPr>
            <w:r>
              <w:t>每月完成人员工资的支付时间</w:t>
            </w:r>
          </w:p>
        </w:tc>
        <w:tc>
          <w:tcPr>
            <w:tcW w:w="840" w:type="dxa"/>
            <w:vAlign w:val="center"/>
          </w:tcPr>
          <w:p w14:paraId="7AB7A2DB">
            <w:pPr>
              <w:pStyle w:val="13"/>
            </w:pPr>
            <w:r>
              <w:t>≥95%</w:t>
            </w:r>
          </w:p>
        </w:tc>
        <w:tc>
          <w:tcPr>
            <w:tcW w:w="2404" w:type="dxa"/>
            <w:vAlign w:val="center"/>
          </w:tcPr>
          <w:p w14:paraId="1E7AF6CC">
            <w:pPr>
              <w:pStyle w:val="13"/>
            </w:pPr>
            <w:r>
              <w:t>按照年初工作计划安排</w:t>
            </w:r>
          </w:p>
        </w:tc>
      </w:tr>
      <w:tr w14:paraId="676AF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468C5A"/>
        </w:tc>
        <w:tc>
          <w:tcPr>
            <w:tcW w:w="1276" w:type="dxa"/>
            <w:vAlign w:val="center"/>
          </w:tcPr>
          <w:p w14:paraId="5D9F4298">
            <w:pPr>
              <w:pStyle w:val="13"/>
            </w:pPr>
            <w:r>
              <w:t>质量指标</w:t>
            </w:r>
          </w:p>
        </w:tc>
        <w:tc>
          <w:tcPr>
            <w:tcW w:w="1128" w:type="dxa"/>
            <w:vAlign w:val="center"/>
          </w:tcPr>
          <w:p w14:paraId="515C4098">
            <w:pPr>
              <w:pStyle w:val="13"/>
            </w:pPr>
            <w:r>
              <w:t>财政投入</w:t>
            </w:r>
          </w:p>
        </w:tc>
        <w:tc>
          <w:tcPr>
            <w:tcW w:w="2970" w:type="dxa"/>
            <w:vAlign w:val="center"/>
          </w:tcPr>
          <w:p w14:paraId="70FF8ED0">
            <w:pPr>
              <w:pStyle w:val="13"/>
            </w:pPr>
            <w:r>
              <w:t>财政投入</w:t>
            </w:r>
          </w:p>
        </w:tc>
        <w:tc>
          <w:tcPr>
            <w:tcW w:w="840" w:type="dxa"/>
            <w:vAlign w:val="center"/>
          </w:tcPr>
          <w:p w14:paraId="0296B8E7">
            <w:pPr>
              <w:pStyle w:val="13"/>
            </w:pPr>
            <w:r>
              <w:t>≥95%</w:t>
            </w:r>
          </w:p>
        </w:tc>
        <w:tc>
          <w:tcPr>
            <w:tcW w:w="2404" w:type="dxa"/>
            <w:vAlign w:val="center"/>
          </w:tcPr>
          <w:p w14:paraId="4A6A290D">
            <w:pPr>
              <w:pStyle w:val="13"/>
            </w:pPr>
            <w:r>
              <w:t>按照年初工作计划安排</w:t>
            </w:r>
          </w:p>
        </w:tc>
      </w:tr>
      <w:tr w14:paraId="4CF99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F0ADAE">
            <w:pPr>
              <w:pStyle w:val="15"/>
            </w:pPr>
            <w:r>
              <w:t>效益指标</w:t>
            </w:r>
          </w:p>
        </w:tc>
        <w:tc>
          <w:tcPr>
            <w:tcW w:w="1276" w:type="dxa"/>
            <w:vAlign w:val="center"/>
          </w:tcPr>
          <w:p w14:paraId="78C444B2">
            <w:pPr>
              <w:pStyle w:val="13"/>
            </w:pPr>
            <w:r>
              <w:t>社会效益指标</w:t>
            </w:r>
          </w:p>
        </w:tc>
        <w:tc>
          <w:tcPr>
            <w:tcW w:w="1128" w:type="dxa"/>
            <w:vAlign w:val="center"/>
          </w:tcPr>
          <w:p w14:paraId="281A4310">
            <w:pPr>
              <w:pStyle w:val="13"/>
            </w:pPr>
            <w:r>
              <w:t>社会平稳和谐</w:t>
            </w:r>
          </w:p>
        </w:tc>
        <w:tc>
          <w:tcPr>
            <w:tcW w:w="2970" w:type="dxa"/>
            <w:vAlign w:val="center"/>
          </w:tcPr>
          <w:p w14:paraId="09EBF28A">
            <w:pPr>
              <w:pStyle w:val="13"/>
            </w:pPr>
            <w:r>
              <w:t>保障单位平稳运行</w:t>
            </w:r>
          </w:p>
        </w:tc>
        <w:tc>
          <w:tcPr>
            <w:tcW w:w="840" w:type="dxa"/>
            <w:vAlign w:val="center"/>
          </w:tcPr>
          <w:p w14:paraId="0DB51D34">
            <w:pPr>
              <w:pStyle w:val="13"/>
            </w:pPr>
            <w:r>
              <w:t>≥95%</w:t>
            </w:r>
          </w:p>
        </w:tc>
        <w:tc>
          <w:tcPr>
            <w:tcW w:w="2404" w:type="dxa"/>
            <w:vAlign w:val="center"/>
          </w:tcPr>
          <w:p w14:paraId="3AC08F3B">
            <w:pPr>
              <w:pStyle w:val="13"/>
            </w:pPr>
            <w:r>
              <w:t>按照年初工作计划安排</w:t>
            </w:r>
          </w:p>
        </w:tc>
      </w:tr>
      <w:tr w14:paraId="70E3F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41E9A6">
            <w:pPr>
              <w:pStyle w:val="15"/>
            </w:pPr>
            <w:r>
              <w:t>满意度指标</w:t>
            </w:r>
          </w:p>
        </w:tc>
        <w:tc>
          <w:tcPr>
            <w:tcW w:w="1276" w:type="dxa"/>
            <w:vAlign w:val="center"/>
          </w:tcPr>
          <w:p w14:paraId="6B51F971">
            <w:pPr>
              <w:pStyle w:val="13"/>
            </w:pPr>
            <w:r>
              <w:t>服务对象满意度指标</w:t>
            </w:r>
          </w:p>
        </w:tc>
        <w:tc>
          <w:tcPr>
            <w:tcW w:w="1128" w:type="dxa"/>
            <w:vAlign w:val="center"/>
          </w:tcPr>
          <w:p w14:paraId="47D1F30F">
            <w:pPr>
              <w:pStyle w:val="13"/>
            </w:pPr>
            <w:r>
              <w:t>满意度</w:t>
            </w:r>
          </w:p>
        </w:tc>
        <w:tc>
          <w:tcPr>
            <w:tcW w:w="2970" w:type="dxa"/>
            <w:vAlign w:val="center"/>
          </w:tcPr>
          <w:p w14:paraId="5B256ACA">
            <w:pPr>
              <w:pStyle w:val="13"/>
            </w:pPr>
            <w:r>
              <w:t>单位工作人员满意度</w:t>
            </w:r>
          </w:p>
        </w:tc>
        <w:tc>
          <w:tcPr>
            <w:tcW w:w="840" w:type="dxa"/>
            <w:vAlign w:val="center"/>
          </w:tcPr>
          <w:p w14:paraId="30ED7D20">
            <w:pPr>
              <w:pStyle w:val="13"/>
            </w:pPr>
            <w:r>
              <w:t>≥95%</w:t>
            </w:r>
          </w:p>
        </w:tc>
        <w:tc>
          <w:tcPr>
            <w:tcW w:w="2404" w:type="dxa"/>
            <w:vAlign w:val="center"/>
          </w:tcPr>
          <w:p w14:paraId="5DC5E967">
            <w:pPr>
              <w:pStyle w:val="13"/>
            </w:pPr>
            <w:r>
              <w:t>按照年初工作计划安排</w:t>
            </w:r>
          </w:p>
        </w:tc>
      </w:tr>
    </w:tbl>
    <w:p w14:paraId="0FA50A8E">
      <w:bookmarkStart w:id="4" w:name="_GoBack"/>
      <w:bookmarkEnd w:id="4"/>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ACD49">
    <w:pPr>
      <w:jc w:val="right"/>
    </w:pPr>
    <w:r>
      <w:fldChar w:fldCharType="begin"/>
    </w:r>
    <w:r>
      <w:instrText xml:space="preserve">PAGE "page number"</w:instrText>
    </w:r>
    <w:r>
      <w:fldChar w:fldCharType="separate"/>
    </w:r>
    <w: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A40E3">
    <w:pPr>
      <w:jc w:val="left"/>
    </w:pPr>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5714D31"/>
    <w:rsid w:val="0BB7550F"/>
    <w:rsid w:val="0C3B7EEE"/>
    <w:rsid w:val="0F9718DF"/>
    <w:rsid w:val="109E6C9D"/>
    <w:rsid w:val="10CF50A9"/>
    <w:rsid w:val="14186D67"/>
    <w:rsid w:val="21787096"/>
    <w:rsid w:val="2B514BE0"/>
    <w:rsid w:val="2B7D46CD"/>
    <w:rsid w:val="40BA4B7E"/>
    <w:rsid w:val="41EF130C"/>
    <w:rsid w:val="45101210"/>
    <w:rsid w:val="4D1D096E"/>
    <w:rsid w:val="4E7F7A2B"/>
    <w:rsid w:val="54B25E40"/>
    <w:rsid w:val="552F7491"/>
    <w:rsid w:val="5A290952"/>
    <w:rsid w:val="6E900B48"/>
    <w:rsid w:val="79FA77B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1890</Words>
  <Characters>2063</Characters>
  <TotalTime>13</TotalTime>
  <ScaleCrop>false</ScaleCrop>
  <LinksUpToDate>false</LinksUpToDate>
  <CharactersWithSpaces>2129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2025-02-07T07:19:00Z</dcterms:created>
  <dc:creator>Administrator</dc:creator>
  <cp:lastModifiedBy>匆匆那年</cp:lastModifiedBy>
  <dcterms:modified xsi:type="dcterms:W3CDTF">2025-02-13T02:15:34Z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eyJoZGlkIjoiYjMyYjg1MjgxOTJiOWQ5ZmViMWJhZTY1NGExYjkyM2QiLCJ1c2VySWQiOiIzMTc5MTQwOTcifQ==</vt:lpwstr>
  </property>
  <property fmtid="{D5CDD505-2E9C-101B-9397-08002B2CF9AE}" pid="3" name="KSOProductBuildVer">
    <vt:lpwstr>2052-12.1.0.19302</vt:lpwstr>
  </property>
  <property fmtid="{D5CDD505-2E9C-101B-9397-08002B2CF9AE}" pid="4" name="ICV">
    <vt:lpwstr>5889A931EC014F64B030B9652E95B82D_12</vt:lpwstr>
  </property>
</Properties>
</file>