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80" w:lineRule="exact"/>
        <w:jc w:val="both"/>
        <w:rPr>
          <w:rFonts w:ascii="Times New Roman" w:eastAsia="方正小标宋_GBK" w:hAnsi="Times New Roman"/>
          <w:sz w:val="36"/>
          <w:szCs w:val="36"/>
        </w:rPr>
      </w:pPr>
    </w:p>
    <w:p>
      <w:pPr>
        <w:spacing w:line="580" w:lineRule="exact"/>
        <w:jc w:val="center"/>
        <w:rPr>
          <w:rFonts w:ascii="Times New Roman" w:eastAsia="方正小标宋_GBK" w:hAnsi="Times New Roman"/>
          <w:sz w:val="36"/>
          <w:szCs w:val="36"/>
        </w:rPr>
      </w:pPr>
      <w:r>
        <w:rPr>
          <w:rFonts w:ascii="Times New Roman" w:eastAsia="方正小标宋_GBK" w:hAnsi="Times New Roman"/>
          <w:sz w:val="36"/>
          <w:szCs w:val="36"/>
        </w:rPr>
        <w:t>农村部分计划生育家庭奖励扶助补助资金</w:t>
      </w:r>
    </w:p>
    <w:p>
      <w:pPr>
        <w:spacing w:line="580" w:lineRule="exact"/>
        <w:ind w:firstLineChars="200" w:firstLine="640"/>
        <w:rPr>
          <w:rFonts w:ascii="方正黑体_GBK" w:eastAsia="方正黑体_GBK"/>
          <w:sz w:val="32"/>
          <w:szCs w:val="32"/>
        </w:rPr>
      </w:pPr>
      <w:r>
        <w:rPr>
          <w:rFonts w:ascii="方正黑体_GBK" w:eastAsia="方正黑体_GBK" w:hint="eastAsia"/>
          <w:sz w:val="32"/>
          <w:szCs w:val="32"/>
        </w:rPr>
        <w:t>一、政策依据</w:t>
      </w:r>
    </w:p>
    <w:p>
      <w:pPr>
        <w:spacing w:line="580" w:lineRule="exact"/>
        <w:ind w:firstLineChars="200" w:firstLine="640"/>
        <w:rPr>
          <w:rFonts w:ascii="方正仿宋_GBK" w:eastAsia="方正仿宋_GBK"/>
          <w:sz w:val="32"/>
          <w:szCs w:val="32"/>
        </w:rPr>
      </w:pPr>
      <w:r>
        <w:rPr>
          <w:rFonts w:ascii="Times New Roman" w:eastAsia="方正仿宋_GBK" w:hAnsi="Times New Roman"/>
          <w:sz w:val="32"/>
          <w:szCs w:val="32"/>
        </w:rPr>
        <w:t>1.中共中央 国务院关于实施全面两孩政策改革完善计划生育服务管理的决定</w:t>
      </w:r>
      <w:r>
        <w:rPr>
          <w:rFonts w:ascii="方正仿宋_GBK" w:eastAsia="方正仿宋_GBK" w:hint="eastAsia"/>
          <w:sz w:val="32"/>
          <w:szCs w:val="32"/>
        </w:rPr>
        <w:t>（</w:t>
      </w:r>
      <w:r>
        <w:rPr>
          <w:rFonts w:ascii="Times New Roman" w:eastAsia="方正仿宋_GBK" w:hAnsi="Times New Roman"/>
          <w:sz w:val="32"/>
          <w:szCs w:val="32"/>
        </w:rPr>
        <w:t>中发</w:t>
      </w:r>
      <w:r>
        <w:rPr>
          <w:rFonts w:ascii="仿宋_GB2312" w:eastAsia="仿宋_GB2312" w:hint="eastAsia"/>
          <w:sz w:val="32"/>
          <w:szCs w:val="32"/>
        </w:rPr>
        <w:t>〔</w:t>
      </w:r>
      <w:r>
        <w:rPr>
          <w:rFonts w:ascii="Times New Roman" w:eastAsia="方正仿宋_GBK" w:hAnsi="Times New Roman"/>
          <w:sz w:val="32"/>
          <w:szCs w:val="32"/>
        </w:rPr>
        <w:t>2015</w:t>
      </w:r>
      <w:r>
        <w:rPr>
          <w:rFonts w:ascii="仿宋_GB2312" w:eastAsia="仿宋_GB2312"/>
          <w:sz w:val="32"/>
          <w:szCs w:val="32"/>
        </w:rPr>
        <w:t>〕</w:t>
      </w:r>
      <w:r>
        <w:rPr>
          <w:rFonts w:ascii="Times New Roman" w:eastAsia="方正仿宋_GBK" w:hAnsi="Times New Roman"/>
          <w:sz w:val="32"/>
          <w:szCs w:val="32"/>
        </w:rPr>
        <w:t>40号</w:t>
      </w:r>
      <w:r>
        <w:rPr>
          <w:rFonts w:ascii="方正仿宋_GBK" w:eastAsia="方正仿宋_GBK" w:hint="eastAsia"/>
          <w:sz w:val="32"/>
          <w:szCs w:val="32"/>
        </w:rPr>
        <w:t>）</w:t>
      </w:r>
    </w:p>
    <w:p>
      <w:pPr>
        <w:spacing w:line="580" w:lineRule="exact"/>
        <w:ind w:firstLineChars="200" w:firstLine="640"/>
        <w:rPr>
          <w:rFonts w:ascii="Times New Roman" w:eastAsia="方正仿宋_GBK" w:hAnsi="Times New Roman"/>
          <w:b/>
          <w:sz w:val="32"/>
          <w:szCs w:val="32"/>
        </w:rPr>
      </w:pPr>
      <w:r>
        <w:rPr>
          <w:rFonts w:ascii="Times New Roman" w:eastAsia="方正仿宋_GBK" w:hAnsi="Times New Roman"/>
          <w:sz w:val="32"/>
          <w:szCs w:val="32"/>
        </w:rPr>
        <w:t>2.国务院办公厅《关于印发医疗卫生领域中央与地方财政事权和支出责任划分改革方案的通知》（国办发</w:t>
      </w:r>
      <w:r>
        <w:rPr>
          <w:rFonts w:ascii="仿宋_GB2312" w:eastAsia="仿宋_GB2312" w:hint="eastAsia"/>
          <w:sz w:val="32"/>
          <w:szCs w:val="32"/>
        </w:rPr>
        <w:t>〔</w:t>
      </w:r>
      <w:r>
        <w:rPr>
          <w:rFonts w:ascii="Times New Roman" w:eastAsia="方正仿宋_GBK" w:hAnsi="Times New Roman"/>
          <w:sz w:val="32"/>
          <w:szCs w:val="32"/>
        </w:rPr>
        <w:t>201</w:t>
      </w:r>
      <w:r>
        <w:rPr>
          <w:rFonts w:ascii="Times New Roman" w:eastAsia="方正仿宋_GBK" w:hAnsi="Times New Roman" w:hint="eastAsia"/>
          <w:sz w:val="32"/>
          <w:szCs w:val="32"/>
        </w:rPr>
        <w:t>8</w:t>
      </w:r>
      <w:r>
        <w:rPr>
          <w:rFonts w:ascii="仿宋_GB2312" w:eastAsia="仿宋_GB2312"/>
          <w:sz w:val="32"/>
          <w:szCs w:val="32"/>
        </w:rPr>
        <w:t>〕</w:t>
      </w:r>
      <w:r>
        <w:rPr>
          <w:rFonts w:ascii="Times New Roman" w:eastAsia="方正仿宋_GBK" w:hAnsi="Times New Roman"/>
          <w:sz w:val="32"/>
          <w:szCs w:val="32"/>
        </w:rPr>
        <w:t>67号）</w:t>
      </w:r>
    </w:p>
    <w:p>
      <w:pPr>
        <w:spacing w:line="580" w:lineRule="exact"/>
        <w:ind w:firstLineChars="200" w:firstLine="640"/>
        <w:rPr>
          <w:rFonts w:ascii="方正黑体_GBK" w:eastAsia="方正黑体_GBK"/>
          <w:sz w:val="32"/>
          <w:szCs w:val="32"/>
        </w:rPr>
      </w:pPr>
      <w:r>
        <w:rPr>
          <w:rFonts w:ascii="方正黑体_GBK" w:eastAsia="方正黑体_GBK"/>
          <w:sz w:val="32"/>
          <w:szCs w:val="32"/>
        </w:rPr>
        <w:t>二、主管部门</w:t>
      </w:r>
    </w:p>
    <w:p>
      <w:pPr>
        <w:spacing w:line="580" w:lineRule="exact"/>
        <w:ind w:firstLineChars="200" w:firstLine="640"/>
        <w:rPr>
          <w:rFonts w:ascii="Times New Roman" w:eastAsia="方正仿宋_GBK" w:hAnsi="Times New Roman" w:hint="eastAsia"/>
          <w:sz w:val="32"/>
          <w:szCs w:val="32"/>
          <w:lang w:eastAsia="zh-CN"/>
        </w:rPr>
      </w:pPr>
      <w:r>
        <w:rPr>
          <w:rFonts w:ascii="Times New Roman" w:eastAsia="方正仿宋_GBK" w:hAnsi="Times New Roman" w:hint="eastAsia"/>
          <w:sz w:val="32"/>
          <w:szCs w:val="32"/>
          <w:lang w:eastAsia="zh-CN"/>
        </w:rPr>
        <w:t>路南区</w:t>
      </w:r>
      <w:r>
        <w:rPr>
          <w:rFonts w:ascii="Times New Roman" w:eastAsia="方正仿宋_GBK" w:hAnsi="Times New Roman"/>
          <w:sz w:val="32"/>
          <w:szCs w:val="32"/>
        </w:rPr>
        <w:t>卫生健康</w:t>
      </w:r>
      <w:r>
        <w:rPr>
          <w:rFonts w:ascii="Times New Roman" w:eastAsia="方正仿宋_GBK" w:hAnsi="Times New Roman" w:hint="eastAsia"/>
          <w:sz w:val="32"/>
          <w:szCs w:val="32"/>
          <w:lang w:eastAsia="zh-CN"/>
        </w:rPr>
        <w:t>局</w:t>
      </w:r>
    </w:p>
    <w:p>
      <w:pPr>
        <w:spacing w:line="580" w:lineRule="exact"/>
        <w:ind w:firstLineChars="200" w:firstLine="640"/>
        <w:rPr>
          <w:rFonts w:ascii="方正黑体_GBK" w:eastAsia="方正黑体_GBK"/>
          <w:sz w:val="32"/>
          <w:szCs w:val="32"/>
        </w:rPr>
      </w:pPr>
      <w:r>
        <w:rPr>
          <w:rFonts w:ascii="方正黑体_GBK" w:eastAsia="方正黑体_GBK"/>
          <w:sz w:val="32"/>
          <w:szCs w:val="32"/>
        </w:rPr>
        <w:t>三、补助对象</w:t>
      </w:r>
    </w:p>
    <w:p>
      <w:pPr>
        <w:spacing w:line="58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（1）本人及配偶均为农业户口或界定为农村居民户口；</w:t>
      </w:r>
    </w:p>
    <w:p>
      <w:pPr>
        <w:spacing w:line="58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（2）没有违反计划生育法律法规和政策规定生育；</w:t>
      </w:r>
    </w:p>
    <w:p>
      <w:pPr>
        <w:spacing w:line="58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（3）现存一个子女或两个女孩或子女死亡现无子女；</w:t>
      </w:r>
    </w:p>
    <w:p>
      <w:pPr>
        <w:spacing w:line="58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（4）年满60周岁，独生子女意外死亡现无子女家庭且符合国家规定的前三个条件。</w:t>
      </w:r>
    </w:p>
    <w:p>
      <w:pPr>
        <w:spacing w:line="580" w:lineRule="exact"/>
        <w:ind w:firstLineChars="200" w:firstLine="640"/>
        <w:rPr>
          <w:rFonts w:ascii="方正黑体_GBK" w:eastAsia="方正黑体_GBK"/>
          <w:sz w:val="32"/>
          <w:szCs w:val="32"/>
        </w:rPr>
      </w:pPr>
      <w:r>
        <w:rPr>
          <w:rFonts w:ascii="方正黑体_GBK" w:eastAsia="方正黑体_GBK"/>
          <w:sz w:val="32"/>
          <w:szCs w:val="32"/>
        </w:rPr>
        <w:t>四、补助标准</w:t>
      </w:r>
    </w:p>
    <w:p>
      <w:pPr>
        <w:spacing w:line="58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每人80元/月，年人均960元。</w:t>
      </w:r>
    </w:p>
    <w:p>
      <w:pPr>
        <w:spacing w:line="580" w:lineRule="exact"/>
        <w:ind w:firstLineChars="200" w:firstLine="640"/>
        <w:rPr>
          <w:rFonts w:ascii="方正黑体_GBK" w:eastAsia="方正黑体_GBK"/>
          <w:sz w:val="32"/>
          <w:szCs w:val="32"/>
        </w:rPr>
      </w:pPr>
      <w:r>
        <w:rPr>
          <w:rFonts w:ascii="方正黑体_GBK" w:eastAsia="方正黑体_GBK"/>
          <w:sz w:val="32"/>
          <w:szCs w:val="32"/>
        </w:rPr>
        <w:t>五、办理流程</w:t>
      </w:r>
    </w:p>
    <w:p>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kern w:val="0"/>
          <w:sz w:val="32"/>
          <w:szCs w:val="32"/>
        </w:rPr>
        <w:t>1.</w:t>
      </w:r>
      <w:r>
        <w:rPr>
          <w:rFonts w:ascii="Times New Roman" w:eastAsia="方正仿宋_GBK" w:hAnsi="Times New Roman"/>
          <w:sz w:val="32"/>
          <w:szCs w:val="32"/>
        </w:rPr>
        <w:t>申请。</w:t>
      </w:r>
    </w:p>
    <w:p>
      <w:pPr>
        <w:spacing w:line="58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（1）户籍证明，身份证明，婚姻状况证明，单位或村委会出具的子女状况证明，近期免冠一寸照片。属于下列情形的需提供相关证明材料：</w:t>
      </w:r>
    </w:p>
    <w:p>
      <w:pPr>
        <w:spacing w:line="58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1992年4月1日《收养法》实施前形成收养事实的，要具备以下条件：收养后户口在一起；有村委会、村计生协会证明。</w:t>
      </w:r>
    </w:p>
    <w:p>
      <w:pPr>
        <w:spacing w:line="58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1992年4月1日至1999年3月31日收养子女的，需提供收养人送养人订立的书面协议或民政部门颁发的收养证；</w:t>
      </w:r>
    </w:p>
    <w:p>
      <w:pPr>
        <w:spacing w:line="58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1999年4月1日以后收养子女的，需提供民政部门颁发的收养证。与子女解除收养关系的，需提供民政部门出具的解除收养关系的证明。</w:t>
      </w:r>
    </w:p>
    <w:p>
      <w:pPr>
        <w:spacing w:line="58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（2）子女死亡且曾办理过户籍登记的，需提供公安部门出具的注销户籍的证明，子女死亡但未曾办理户籍登记的，需提供公安部门或者医院或者村民委员会出具的经乡级计划生育机构核实的死亡证明。</w:t>
      </w:r>
    </w:p>
    <w:p>
      <w:pPr>
        <w:spacing w:line="58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（3）离婚的，需提供离婚证或者离婚判决书，离婚协议书。丧偶的，须提供公安部门或者医院或者村民委员会出具的死亡证明。</w:t>
      </w:r>
    </w:p>
    <w:p>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kern w:val="0"/>
          <w:sz w:val="32"/>
          <w:szCs w:val="32"/>
        </w:rPr>
        <w:t>2.</w:t>
      </w:r>
      <w:r>
        <w:rPr>
          <w:rFonts w:ascii="Times New Roman" w:eastAsia="方正仿宋_GBK" w:hAnsi="Times New Roman"/>
          <w:sz w:val="32"/>
          <w:szCs w:val="32"/>
        </w:rPr>
        <w:t>审核</w:t>
      </w:r>
      <w:r>
        <w:rPr>
          <w:rFonts w:ascii="Times New Roman" w:eastAsia="方正仿宋_GBK" w:hAnsi="Times New Roman" w:hint="eastAsia"/>
          <w:sz w:val="32"/>
          <w:szCs w:val="32"/>
        </w:rPr>
        <w:t>。</w:t>
      </w:r>
      <w:r>
        <w:rPr>
          <w:rFonts w:ascii="Times New Roman" w:eastAsia="方正仿宋_GBK" w:hAnsi="Times New Roman"/>
          <w:bCs/>
          <w:sz w:val="32"/>
          <w:szCs w:val="32"/>
        </w:rPr>
        <w:t xml:space="preserve">本人提出申请；村民委员会审议并张榜公示；乡镇人民政府初审并公示；县级卫生健康部门审核，确认并张榜公示；市级、省级卫生健康部门抽查、复核。 </w:t>
      </w:r>
    </w:p>
    <w:p>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3.审批</w:t>
      </w:r>
      <w:r>
        <w:rPr>
          <w:rFonts w:ascii="Times New Roman" w:eastAsia="方正仿宋_GBK" w:hAnsi="Times New Roman" w:hint="eastAsia"/>
          <w:sz w:val="32"/>
          <w:szCs w:val="32"/>
        </w:rPr>
        <w:t>。</w:t>
      </w:r>
      <w:r>
        <w:rPr>
          <w:rFonts w:ascii="Times New Roman" w:eastAsia="方正仿宋_GBK" w:hAnsi="Times New Roman"/>
          <w:sz w:val="32"/>
          <w:szCs w:val="32"/>
        </w:rPr>
        <w:t>审核通过视同审批完成。</w:t>
      </w:r>
    </w:p>
    <w:p>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4.发放</w:t>
      </w:r>
      <w:r>
        <w:rPr>
          <w:rFonts w:ascii="Times New Roman" w:eastAsia="方正仿宋_GBK" w:hAnsi="Times New Roman" w:hint="eastAsia"/>
          <w:sz w:val="32"/>
          <w:szCs w:val="32"/>
        </w:rPr>
        <w:t>。</w:t>
      </w:r>
      <w:r>
        <w:rPr>
          <w:rFonts w:ascii="Times New Roman" w:eastAsia="方正仿宋_GBK" w:hAnsi="Times New Roman"/>
          <w:sz w:val="32"/>
          <w:szCs w:val="32"/>
        </w:rPr>
        <w:t>按年度发放，由金融代理机构年底前发放完毕。</w:t>
      </w:r>
    </w:p>
    <w:p>
      <w:pPr>
        <w:spacing w:line="580" w:lineRule="exact"/>
        <w:ind w:left="0"/>
        <w:rPr>
          <w:rFonts w:ascii="方正仿宋_GBK" w:eastAsia="方正仿宋_GBK"/>
          <w:sz w:val="32"/>
          <w:szCs w:val="32"/>
        </w:rPr>
      </w:pPr>
      <w:bookmarkStart w:id="0" w:name="_GoBack"/>
      <w:bookmarkEnd w:id="0"/>
    </w:p>
    <w:sectPr>
      <w:footerReference w:type="default" r:id="rId2"/>
      <w:footerReference w:type="even" r:id="rId3"/>
      <w:pgSz w:w="11906" w:h="16838"/>
      <w:pgMar w:top="2098" w:right="1474" w:bottom="1985" w:left="1588"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方正小标宋_GBK">
    <w:altName w:val="微软雅黑"/>
    <w:panose1 w:val="00000000000000000000"/>
    <w:charset w:val="86"/>
    <w:family w:val="script"/>
    <w:pitch w:val="variable"/>
    <w:sig w:usb0="00000000" w:usb1="00000000" w:usb2="00000000" w:usb3="00000000" w:csb0="00040000" w:csb1="00000000"/>
  </w:font>
  <w:font w:name="方正黑体_GBK">
    <w:altName w:val="微软雅黑"/>
    <w:panose1 w:val="00000000000000000000"/>
    <w:charset w:val="86"/>
    <w:family w:val="script"/>
    <w:pitch w:val="variable"/>
    <w:sig w:usb0="00000000" w:usb1="00000000" w:usb2="00000010" w:usb3="00000000" w:csb0="00040000" w:csb1="00000000"/>
  </w:font>
  <w:font w:name="方正仿宋_GBK">
    <w:altName w:val="宋体"/>
    <w:panose1 w:val="00000000000000000000"/>
    <w:charset w:val="86"/>
    <w:family w:val="script"/>
    <w:pitch w:val="variable"/>
    <w:sig w:usb0="00000000" w:usb1="00000000" w:usb2="00000010" w:usb3="00000000" w:csb0="00040000" w:csb1="00000000"/>
  </w:font>
  <w:font w:name="仿宋_GB2312">
    <w:altName w:val="仿宋"/>
    <w:panose1 w:val="02010609030101010101"/>
    <w:charset w:val="86"/>
    <w:family w:val="modern"/>
    <w:pitch w:val="variable"/>
    <w:sig w:usb0="00000000" w:usb1="00000000" w:usb2="00000000" w:usb3="00000000" w:csb0="00040000" w:csb1="00000000"/>
  </w:font>
  <w:font w:name="Calibri">
    <w:panose1 w:val="020F0502020204030204"/>
    <w:charset w:val="00"/>
    <w:family w:val="swiss"/>
    <w:pitch w:val="variable"/>
    <w:sig w:usb0="E10002FF" w:usb1="4000ACFF" w:usb2="00000009" w:usb3="00000000" w:csb0="2000019F" w:csb1="0000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805402775"/>
      <w:docPartList>
        <w:docPartGallery w:val="autotext"/>
      </w:docPartList>
    </w:sdtPr>
    <w:sdtEndPr>
      <w:rPr>
        <w:rFonts w:ascii="宋体" w:eastAsia="宋体"/>
        <w:sz w:val="28"/>
        <w:szCs w:val="28"/>
      </w:rPr>
    </w:sdtEndPr>
    <w:sdtContent>
      <w:p>
        <w:pPr>
          <w:pStyle w:val="17"/>
          <w:tabs>
            <w:tab w:val="center" w:pos="4153"/>
            <w:tab w:val="right" w:pos="8306"/>
          </w:tabs>
          <w:jc w:val="right"/>
        </w:pPr>
        <w:r>
          <w:rPr>
            <w:rFonts w:ascii="宋体" w:eastAsia="宋体"/>
            <w:sz w:val="28"/>
            <w:szCs w:val="28"/>
          </w:rPr>
          <w:fldChar w:fldCharType="begin"/>
        </w:r>
        <w:r>
          <w:rPr>
            <w:rFonts w:ascii="宋体" w:eastAsia="宋体"/>
            <w:sz w:val="28"/>
            <w:szCs w:val="28"/>
          </w:rPr>
          <w:instrText xml:space="preserve"> PAGE   \* MERGEFORMAT </w:instrText>
        </w:r>
        <w:r>
          <w:rPr>
            <w:rFonts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35 -</w:t>
        </w:r>
        <w:r>
          <w:rPr>
            <w:rFonts w:ascii="宋体" w:eastAsia="宋体"/>
            <w:sz w:val="28"/>
            <w:szCs w:val="28"/>
          </w:rPr>
          <w:fldChar w:fldCharType="end"/>
        </w:r>
      </w:p>
    </w:sdtContent>
  </w:sdt>
  <w:p>
    <w:pPr>
      <w:pStyle w:val="17"/>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rPr>
        <w:rFonts w:ascii="宋体" w:eastAsia="宋体"/>
        <w:sz w:val="28"/>
        <w:szCs w:val="28"/>
      </w:rPr>
      <w:id w:val="-487346206"/>
      <w:docPartList>
        <w:docPartGallery w:val="autotext"/>
      </w:docPartList>
    </w:sdtPr>
    <w:sdtContent>
      <w:p>
        <w:pPr>
          <w:pStyle w:val="17"/>
          <w:tabs>
            <w:tab w:val="center" w:pos="4153"/>
            <w:tab w:val="right" w:pos="8306"/>
          </w:tabs>
          <w:rPr>
            <w:rFonts w:ascii="宋体" w:eastAsia="宋体"/>
            <w:sz w:val="28"/>
            <w:szCs w:val="28"/>
          </w:rPr>
        </w:pPr>
        <w:r>
          <w:rPr>
            <w:rFonts w:ascii="宋体" w:eastAsia="宋体"/>
            <w:sz w:val="28"/>
            <w:szCs w:val="28"/>
          </w:rPr>
          <w:fldChar w:fldCharType="begin"/>
        </w:r>
        <w:r>
          <w:rPr>
            <w:rFonts w:ascii="宋体" w:eastAsia="宋体"/>
            <w:sz w:val="28"/>
            <w:szCs w:val="28"/>
          </w:rPr>
          <w:instrText xml:space="preserve"> PAGE   \* MERGEFORMAT </w:instrText>
        </w:r>
        <w:r>
          <w:rPr>
            <w:rFonts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34 -</w:t>
        </w:r>
        <w:r>
          <w:rPr>
            <w:rFonts w:ascii="宋体" w:eastAsia="宋体"/>
            <w:sz w:val="28"/>
            <w:szCs w:val="28"/>
          </w:rPr>
          <w:fldChar w:fldCharType="end"/>
        </w:r>
      </w:p>
    </w:sdtContent>
  </w:sdt>
  <w:p>
    <w:pPr>
      <w:pStyle w:val="17"/>
      <w:tabs>
        <w:tab w:val="center" w:pos="4153"/>
        <w:tab w:val="right" w:pos="8306"/>
      </w:tabs>
      <w:rPr>
        <w:rFonts w:ascii="宋体" w:eastAsia="宋体"/>
        <w:sz w:val="28"/>
        <w:szCs w:val="28"/>
      </w:rPr>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NTkwNWI2OGVjOTA5YjU5OWUyODY0MjE4YThiYWUzNmQ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Body Text"/>
    <w:basedOn w:val="0"/>
    <w:autoRedefine/>
    <w:rPr>
      <w:rFonts w:ascii="Times New Roman" w:hAnsi="Times New Roman"/>
      <w:szCs w:val="24"/>
    </w:rPr>
  </w:style>
  <w:style w:type="paragraph" w:styleId="16">
    <w:name w:val="Balloon Text"/>
    <w:basedOn w:val="0"/>
    <w:autoRedefine/>
    <w:rPr>
      <w:sz w:val="18"/>
      <w:szCs w:val="18"/>
    </w:rPr>
  </w:style>
  <w:style w:type="paragraph" w:styleId="17">
    <w:name w:val="footer"/>
    <w:basedOn w:val="0"/>
    <w:autoRedefine/>
    <w:pPr>
      <w:tabs>
        <w:tab w:val="center" w:pos="4153"/>
        <w:tab w:val="right" w:pos="8306"/>
      </w:tabs>
      <w:snapToGrid w:val="0"/>
      <w:jc w:val="left"/>
    </w:pPr>
    <w:rPr>
      <w:sz w:val="18"/>
      <w:szCs w:val="18"/>
    </w:rPr>
  </w:style>
  <w:style w:type="paragraph" w:styleId="18">
    <w:name w:val="header"/>
    <w:basedOn w:val="0"/>
    <w:autoRedefine/>
    <w:pPr>
      <w:pBdr>
        <w:bottom w:val="single" w:sz="6" w:space="1" w:color="auto"/>
      </w:pBdr>
      <w:tabs>
        <w:tab w:val="center" w:pos="4153"/>
        <w:tab w:val="right" w:pos="8306"/>
      </w:tabs>
      <w:snapToGrid w:val="0"/>
      <w:jc w:val="center"/>
    </w:pPr>
    <w:rPr>
      <w:sz w:val="18"/>
      <w:szCs w:val="18"/>
    </w:rPr>
  </w:style>
  <w:style w:type="paragraph" w:customStyle="1" w:styleId="19">
    <w:name w:val="普通(网站)1"/>
    <w:basedOn w:val="0"/>
    <w:autoRedefine/>
    <w:pPr>
      <w:widowControl/>
      <w:spacing w:before="100" w:beforeAutospacing="1" w:after="100" w:afterAutospacing="1"/>
      <w:jc w:val="left"/>
    </w:pPr>
    <w:rPr>
      <w:rFonts w:ascii="宋体" w:cs="宋体"/>
      <w:kern w:val="0"/>
      <w:sz w:val="24"/>
    </w:rPr>
  </w:style>
  <w:style w:type="paragraph" w:customStyle="1" w:styleId="20">
    <w:name w:val="Body text|1"/>
    <w:basedOn w:val="0"/>
    <w:autoRedefine/>
    <w:pPr>
      <w:spacing w:line="430" w:lineRule="auto"/>
      <w:ind w:firstLine="400"/>
    </w:pPr>
    <w:rPr>
      <w:rFonts w:ascii="宋体" w:cs="宋体"/>
      <w:sz w:val="30"/>
      <w:szCs w:val="30"/>
      <w:lang w:val="zh-TW" w:eastAsia="zh-TW" w:bidi="zh-TW"/>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7</TotalTime>
  <Application>Yozo_Office27021597764231179</Application>
  <Pages>2</Pages>
  <Words>754</Words>
  <Characters>785</Characters>
  <Lines>41</Lines>
  <Paragraphs>24</Paragraphs>
  <CharactersWithSpaces>787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Administrator</cp:lastModifiedBy>
  <cp:revision>13</cp:revision>
  <cp:lastPrinted>2023-05-10T02:50:00Z</cp:lastPrinted>
  <dcterms:created xsi:type="dcterms:W3CDTF">2021-09-01T06:48:00Z</dcterms:created>
  <dcterms:modified xsi:type="dcterms:W3CDTF">2024-03-29T09:27:11Z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2052-12.1.0.16388</vt:lpwstr>
  </property>
  <property fmtid="{D5CDD505-2E9C-101B-9397-08002B2CF9AE}" pid="3" name="ICV">
    <vt:lpwstr>2F8B8ED97D1446E297C0735417E43AA4_13</vt:lpwstr>
  </property>
</Properties>
</file>